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14" w:type="pct"/>
        <w:tblInd w:w="53" w:type="dxa"/>
        <w:tblLook w:val="04A0" w:firstRow="1" w:lastRow="0" w:firstColumn="1" w:lastColumn="0" w:noHBand="0" w:noVBand="1"/>
      </w:tblPr>
      <w:tblGrid>
        <w:gridCol w:w="1476"/>
        <w:gridCol w:w="7926"/>
      </w:tblGrid>
      <w:tr w:rsidR="00D06B22" w:rsidTr="008556AD">
        <w:tc>
          <w:tcPr>
            <w:tcW w:w="785" w:type="pct"/>
            <w:tcBorders>
              <w:top w:val="single" w:sz="4" w:space="0" w:color="auto"/>
              <w:left w:val="single" w:sz="4" w:space="0" w:color="auto"/>
              <w:bottom w:val="single" w:sz="4" w:space="0" w:color="auto"/>
              <w:right w:val="single" w:sz="4" w:space="0" w:color="auto"/>
            </w:tcBorders>
            <w:shd w:val="clear" w:color="auto" w:fill="FFFF00"/>
            <w:hideMark/>
          </w:tcPr>
          <w:p w:rsidR="00D06B22" w:rsidRDefault="00D06B22">
            <w:pPr>
              <w:pStyle w:val="NoSpacing"/>
              <w:spacing w:before="120" w:after="120"/>
              <w:rPr>
                <w:b/>
                <w:color w:val="0070C0"/>
              </w:rPr>
            </w:pPr>
            <w:r>
              <w:rPr>
                <w:b/>
                <w:color w:val="0070C0"/>
              </w:rPr>
              <w:t>Course</w:t>
            </w:r>
          </w:p>
        </w:tc>
        <w:tc>
          <w:tcPr>
            <w:tcW w:w="4215" w:type="pct"/>
            <w:tcBorders>
              <w:top w:val="single" w:sz="4" w:space="0" w:color="auto"/>
              <w:left w:val="single" w:sz="4" w:space="0" w:color="auto"/>
              <w:bottom w:val="single" w:sz="4" w:space="0" w:color="auto"/>
              <w:right w:val="single" w:sz="4" w:space="0" w:color="auto"/>
            </w:tcBorders>
            <w:shd w:val="clear" w:color="auto" w:fill="FFFF00"/>
            <w:hideMark/>
          </w:tcPr>
          <w:p w:rsidR="00D06B22" w:rsidRPr="001E1C7A" w:rsidRDefault="00D06B22" w:rsidP="001E1C7A">
            <w:pPr>
              <w:pStyle w:val="NoSpacing"/>
              <w:spacing w:before="120" w:after="120"/>
              <w:rPr>
                <w:b/>
                <w:color w:val="0070C0"/>
              </w:rPr>
            </w:pPr>
            <w:r w:rsidRPr="001E1C7A">
              <w:rPr>
                <w:b/>
                <w:color w:val="0070C0"/>
              </w:rPr>
              <w:t>FNS5021</w:t>
            </w:r>
            <w:r w:rsidR="001E1C7A" w:rsidRPr="001E1C7A">
              <w:rPr>
                <w:b/>
                <w:color w:val="0070C0"/>
              </w:rPr>
              <w:t>0</w:t>
            </w:r>
            <w:r w:rsidRPr="001E1C7A">
              <w:rPr>
                <w:b/>
                <w:color w:val="0070C0"/>
              </w:rPr>
              <w:t xml:space="preserve"> Diploma of Accounting</w:t>
            </w:r>
          </w:p>
        </w:tc>
      </w:tr>
      <w:tr w:rsidR="003B0FB6" w:rsidTr="00D06B22">
        <w:tc>
          <w:tcPr>
            <w:tcW w:w="785" w:type="pct"/>
            <w:tcBorders>
              <w:top w:val="single" w:sz="4" w:space="0" w:color="auto"/>
              <w:left w:val="single" w:sz="4" w:space="0" w:color="auto"/>
              <w:bottom w:val="single" w:sz="4" w:space="0" w:color="auto"/>
              <w:right w:val="single" w:sz="4" w:space="0" w:color="auto"/>
            </w:tcBorders>
          </w:tcPr>
          <w:p w:rsidR="003B0FB6" w:rsidRDefault="003B0FB6" w:rsidP="00BC4741">
            <w:pPr>
              <w:pStyle w:val="NoSpacing"/>
              <w:rPr>
                <w:b/>
                <w:color w:val="0070C0"/>
              </w:rPr>
            </w:pPr>
            <w:r w:rsidRPr="0096010C">
              <w:t>Registered Training Organisation</w:t>
            </w:r>
          </w:p>
        </w:tc>
        <w:tc>
          <w:tcPr>
            <w:tcW w:w="4215" w:type="pct"/>
            <w:tcBorders>
              <w:top w:val="single" w:sz="4" w:space="0" w:color="auto"/>
              <w:left w:val="single" w:sz="4" w:space="0" w:color="auto"/>
              <w:bottom w:val="single" w:sz="4" w:space="0" w:color="auto"/>
              <w:right w:val="single" w:sz="4" w:space="0" w:color="auto"/>
            </w:tcBorders>
          </w:tcPr>
          <w:p w:rsidR="003B0FB6" w:rsidRPr="0096010C" w:rsidRDefault="003B0FB6" w:rsidP="00BC4741">
            <w:pPr>
              <w:pStyle w:val="NoSpacing"/>
            </w:pPr>
            <w:r w:rsidRPr="0096010C">
              <w:t>Chisholm Institute</w:t>
            </w:r>
          </w:p>
          <w:p w:rsidR="003B0FB6" w:rsidRPr="0096010C" w:rsidRDefault="003B0FB6" w:rsidP="00BC4741">
            <w:pPr>
              <w:pStyle w:val="NoSpacing"/>
            </w:pPr>
            <w:r w:rsidRPr="0096010C">
              <w:t>121 Stud Road</w:t>
            </w:r>
          </w:p>
          <w:p w:rsidR="003B0FB6" w:rsidRDefault="003B0FB6" w:rsidP="00BC4741">
            <w:pPr>
              <w:pStyle w:val="NoSpacing"/>
            </w:pPr>
            <w:r w:rsidRPr="0096010C">
              <w:t>Dandenong, Victoria, Australia 3175</w:t>
            </w:r>
          </w:p>
          <w:p w:rsidR="003B0FB6" w:rsidRDefault="003B0FB6" w:rsidP="00BC4741">
            <w:pPr>
              <w:pStyle w:val="NoSpacing"/>
              <w:spacing w:before="120" w:after="120"/>
            </w:pPr>
            <w:r w:rsidRPr="0096010C">
              <w:rPr>
                <w:b/>
                <w:color w:val="0070C0"/>
              </w:rPr>
              <w:t xml:space="preserve">RTO </w:t>
            </w:r>
            <w:r>
              <w:rPr>
                <w:b/>
                <w:color w:val="0070C0"/>
              </w:rPr>
              <w:t>Registration No.</w:t>
            </w:r>
            <w:r w:rsidRPr="0096010C">
              <w:rPr>
                <w:b/>
                <w:color w:val="0070C0"/>
              </w:rPr>
              <w:t xml:space="preserve"> 260</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Chisholm Course Coordinator</w:t>
            </w: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Pr="00875B95" w:rsidRDefault="00D06B22">
            <w:pPr>
              <w:pStyle w:val="NoSpacing"/>
            </w:pPr>
            <w:r w:rsidRPr="00875B95">
              <w:t>Chisholm Coordinator:</w:t>
            </w:r>
          </w:p>
          <w:p w:rsidR="00D06B22" w:rsidRPr="00875B95" w:rsidRDefault="00D06B22">
            <w:pPr>
              <w:pStyle w:val="NoSpacing"/>
            </w:pPr>
            <w:r w:rsidRPr="00875B95">
              <w:t>Rex Lang</w:t>
            </w:r>
          </w:p>
          <w:p w:rsidR="00D06B22" w:rsidRPr="00875B95" w:rsidRDefault="00D06B22">
            <w:pPr>
              <w:pStyle w:val="NoSpacing"/>
            </w:pPr>
            <w:r w:rsidRPr="00875B95">
              <w:t xml:space="preserve">Email: </w:t>
            </w:r>
            <w:hyperlink r:id="rId7" w:history="1">
              <w:r w:rsidRPr="00875B95">
                <w:rPr>
                  <w:rStyle w:val="Hyperlink"/>
                </w:rPr>
                <w:t>rex.lang@chisholm.edu.au</w:t>
              </w:r>
            </w:hyperlink>
          </w:p>
          <w:p w:rsidR="00F40F96" w:rsidRDefault="00D06B22" w:rsidP="00875B95">
            <w:pPr>
              <w:pStyle w:val="NoSpacing"/>
            </w:pPr>
            <w:r w:rsidRPr="00875B95">
              <w:t xml:space="preserve">Telephone: </w:t>
            </w:r>
            <w:r w:rsidR="00875B95" w:rsidRPr="00875B95">
              <w:t xml:space="preserve"> Work </w:t>
            </w:r>
            <w:r w:rsidRPr="00875B95">
              <w:t>+ 61 3 9238 8475</w:t>
            </w:r>
            <w:r w:rsidR="00875B95" w:rsidRPr="00875B95">
              <w:t xml:space="preserve"> </w:t>
            </w:r>
          </w:p>
          <w:p w:rsidR="00875B95" w:rsidRPr="00875B95" w:rsidRDefault="00F40F96" w:rsidP="00875B95">
            <w:pPr>
              <w:pStyle w:val="NoSpacing"/>
            </w:pPr>
            <w:r>
              <w:t xml:space="preserve">                       </w:t>
            </w:r>
            <w:r w:rsidR="00875B95" w:rsidRPr="00875B95">
              <w:t>Mobile +61439032161</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Entry Requirements</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Pr="00F40F96" w:rsidRDefault="00D06B22" w:rsidP="00BE52BF">
            <w:pPr>
              <w:pStyle w:val="NoSpacing"/>
              <w:numPr>
                <w:ilvl w:val="0"/>
                <w:numId w:val="1"/>
              </w:numPr>
            </w:pPr>
            <w:r w:rsidRPr="00F40F96">
              <w:t>Successful completion of Year 12</w:t>
            </w:r>
          </w:p>
          <w:p w:rsidR="00D06B22" w:rsidRPr="00F40F96" w:rsidRDefault="00D06B22" w:rsidP="00BE52BF">
            <w:pPr>
              <w:pStyle w:val="NoSpacing"/>
              <w:numPr>
                <w:ilvl w:val="0"/>
                <w:numId w:val="1"/>
              </w:numPr>
            </w:pPr>
            <w:r w:rsidRPr="00F40F96">
              <w:t>Chisholm English Language Level 3.5</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Duration</w:t>
            </w:r>
          </w:p>
          <w:p w:rsidR="00D06B22" w:rsidRDefault="00D06B22">
            <w:pPr>
              <w:pStyle w:val="NoSpacing"/>
            </w:pP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Pr="001E1C7A" w:rsidRDefault="00D06B22">
            <w:pPr>
              <w:pStyle w:val="NoSpacing"/>
            </w:pPr>
            <w:r w:rsidRPr="001E1C7A">
              <w:t>Three Years:</w:t>
            </w:r>
          </w:p>
          <w:p w:rsidR="00D06B22" w:rsidRPr="001E1C7A" w:rsidRDefault="00D06B22" w:rsidP="00BE52BF">
            <w:pPr>
              <w:pStyle w:val="NoSpacing"/>
              <w:numPr>
                <w:ilvl w:val="0"/>
                <w:numId w:val="2"/>
              </w:numPr>
            </w:pPr>
            <w:r w:rsidRPr="001E1C7A">
              <w:t xml:space="preserve">Year 1 - Study of English and the awarding upon successful completion of the Chisholm English Certificate. </w:t>
            </w:r>
          </w:p>
          <w:p w:rsidR="001E1C7A" w:rsidRPr="001E1C7A" w:rsidRDefault="00D06B22" w:rsidP="001E1C7A">
            <w:pPr>
              <w:pStyle w:val="NoSpacing"/>
              <w:numPr>
                <w:ilvl w:val="0"/>
                <w:numId w:val="2"/>
              </w:numPr>
            </w:pPr>
            <w:r w:rsidRPr="001E1C7A">
              <w:t>Years 2 and 3  - Diploma of Accounting (Australian)</w:t>
            </w:r>
          </w:p>
        </w:tc>
      </w:tr>
      <w:tr w:rsidR="00D06B22" w:rsidTr="00D06B22">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Method of Delivery</w:t>
            </w: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D06B22" w:rsidRPr="00875B95" w:rsidRDefault="00D06B22">
            <w:pPr>
              <w:pStyle w:val="NoSpacing"/>
            </w:pPr>
            <w:r w:rsidRPr="00875B95">
              <w:t xml:space="preserve">The course is full time delivered in class for 25 hours per week - 40 weeks per year. </w:t>
            </w:r>
          </w:p>
          <w:p w:rsidR="00D06B22" w:rsidRPr="00875B95" w:rsidRDefault="00D06B22">
            <w:pPr>
              <w:pStyle w:val="NoSpacing"/>
            </w:pPr>
            <w:r w:rsidRPr="00875B95">
              <w:t>The last semester of Year 3 will include practical placement in industry.</w:t>
            </w:r>
          </w:p>
        </w:tc>
      </w:tr>
      <w:tr w:rsidR="00D06B22" w:rsidTr="006B4493">
        <w:tc>
          <w:tcPr>
            <w:tcW w:w="785" w:type="pct"/>
            <w:tcBorders>
              <w:top w:val="single" w:sz="4" w:space="0" w:color="auto"/>
              <w:left w:val="single" w:sz="4" w:space="0" w:color="auto"/>
              <w:bottom w:val="single" w:sz="4" w:space="0" w:color="auto"/>
              <w:right w:val="single" w:sz="4" w:space="0" w:color="auto"/>
            </w:tcBorders>
          </w:tcPr>
          <w:p w:rsidR="00D06B22" w:rsidRDefault="00D06B22">
            <w:pPr>
              <w:pStyle w:val="NoSpacing"/>
            </w:pPr>
            <w:r>
              <w:t>Course Overview</w:t>
            </w:r>
          </w:p>
          <w:p w:rsidR="00D06B22" w:rsidRDefault="00D06B22">
            <w:pPr>
              <w:pStyle w:val="NoSpacing"/>
            </w:pPr>
          </w:p>
          <w:p w:rsidR="00D06B22" w:rsidRDefault="00D06B22">
            <w:pPr>
              <w:pStyle w:val="NoSpacing"/>
            </w:pPr>
          </w:p>
          <w:p w:rsidR="00D06B22" w:rsidRDefault="00D06B22">
            <w:pPr>
              <w:pStyle w:val="NoSpacing"/>
            </w:pPr>
          </w:p>
        </w:tc>
        <w:tc>
          <w:tcPr>
            <w:tcW w:w="4215" w:type="pct"/>
            <w:tcBorders>
              <w:top w:val="single" w:sz="4" w:space="0" w:color="auto"/>
              <w:left w:val="single" w:sz="4" w:space="0" w:color="auto"/>
              <w:bottom w:val="single" w:sz="4" w:space="0" w:color="auto"/>
              <w:right w:val="single" w:sz="4" w:space="0" w:color="auto"/>
            </w:tcBorders>
          </w:tcPr>
          <w:p w:rsidR="006B4493" w:rsidRPr="00B42D2B" w:rsidRDefault="006B4493" w:rsidP="006B4493">
            <w:pPr>
              <w:pStyle w:val="NoSpacing"/>
              <w:rPr>
                <w:u w:val="single"/>
              </w:rPr>
            </w:pPr>
            <w:r w:rsidRPr="00B42D2B">
              <w:rPr>
                <w:u w:val="single"/>
              </w:rPr>
              <w:t>Certificate IV (FNS40611)</w:t>
            </w:r>
          </w:p>
          <w:p w:rsidR="006B4493" w:rsidRDefault="006B4493" w:rsidP="006B4493">
            <w:pPr>
              <w:pStyle w:val="NoSpacing"/>
            </w:pPr>
            <w:r>
              <w:t xml:space="preserve">Develops skills in manual and computerised accounts receivable, accounts payable, payroll, and </w:t>
            </w:r>
            <w:r w:rsidR="00F40F96">
              <w:t xml:space="preserve">the </w:t>
            </w:r>
            <w:r>
              <w:t xml:space="preserve">general ledger and the preparation of Business Activity Statement (BAS) and financial statements. </w:t>
            </w:r>
          </w:p>
          <w:p w:rsidR="006B4493" w:rsidRPr="00B42D2B" w:rsidRDefault="006B4493" w:rsidP="006B4493">
            <w:pPr>
              <w:pStyle w:val="NoSpacing"/>
              <w:rPr>
                <w:u w:val="single"/>
              </w:rPr>
            </w:pPr>
            <w:r w:rsidRPr="00B42D2B">
              <w:rPr>
                <w:u w:val="single"/>
              </w:rPr>
              <w:t>Diploma of Accounting (FNS50210)</w:t>
            </w:r>
          </w:p>
          <w:p w:rsidR="00D06B22" w:rsidRDefault="006B4493" w:rsidP="006B4493">
            <w:pPr>
              <w:pStyle w:val="NoSpacing"/>
            </w:pPr>
            <w:r>
              <w:t xml:space="preserve">Develops advanced bookkeeping and assistant accountant skills in </w:t>
            </w:r>
            <w:r w:rsidR="00F40F96">
              <w:t xml:space="preserve">budgeting, </w:t>
            </w:r>
            <w:r>
              <w:t>management and company accounting</w:t>
            </w:r>
            <w:r w:rsidR="00F40F96">
              <w:t xml:space="preserve"> with the further development of Australian </w:t>
            </w:r>
            <w:r>
              <w:t xml:space="preserve">income tax, </w:t>
            </w:r>
            <w:r w:rsidR="00F40F96">
              <w:t>E</w:t>
            </w:r>
            <w:r>
              <w:t xml:space="preserve">conomics </w:t>
            </w:r>
            <w:r w:rsidR="00F40F96">
              <w:t>and A</w:t>
            </w:r>
            <w:r>
              <w:t>ccoun</w:t>
            </w:r>
            <w:r w:rsidR="00F40F96">
              <w:t>t</w:t>
            </w:r>
            <w:r>
              <w:t>ing theor</w:t>
            </w:r>
            <w:r w:rsidR="00F40F96">
              <w:t>y.</w:t>
            </w:r>
          </w:p>
          <w:p w:rsidR="006B4493" w:rsidRDefault="006B4493" w:rsidP="006B4493">
            <w:pPr>
              <w:pStyle w:val="NoSpacing"/>
            </w:pPr>
          </w:p>
        </w:tc>
      </w:tr>
      <w:tr w:rsidR="00135D27" w:rsidTr="00D06B22">
        <w:tc>
          <w:tcPr>
            <w:tcW w:w="785" w:type="pct"/>
            <w:tcBorders>
              <w:top w:val="single" w:sz="4" w:space="0" w:color="auto"/>
              <w:left w:val="single" w:sz="4" w:space="0" w:color="auto"/>
              <w:bottom w:val="single" w:sz="4" w:space="0" w:color="auto"/>
              <w:right w:val="single" w:sz="4" w:space="0" w:color="auto"/>
            </w:tcBorders>
          </w:tcPr>
          <w:p w:rsidR="00135D27" w:rsidRDefault="008556AD" w:rsidP="00686415">
            <w:pPr>
              <w:pStyle w:val="NoSpacing"/>
            </w:pPr>
            <w:r>
              <w:t xml:space="preserve">Sample </w:t>
            </w:r>
            <w:r w:rsidR="00135D27">
              <w:t>Units of Competency</w:t>
            </w:r>
          </w:p>
          <w:p w:rsidR="00135D27" w:rsidRDefault="00135D27" w:rsidP="00686415">
            <w:pPr>
              <w:pStyle w:val="NoSpacing"/>
            </w:pPr>
          </w:p>
          <w:p w:rsidR="00135D27" w:rsidRDefault="00135D27" w:rsidP="00686415">
            <w:pPr>
              <w:pStyle w:val="NoSpacing"/>
            </w:pPr>
          </w:p>
        </w:tc>
        <w:tc>
          <w:tcPr>
            <w:tcW w:w="4215" w:type="pct"/>
            <w:tcBorders>
              <w:top w:val="single" w:sz="4" w:space="0" w:color="auto"/>
              <w:left w:val="single" w:sz="4" w:space="0" w:color="auto"/>
              <w:bottom w:val="single" w:sz="4" w:space="0" w:color="auto"/>
              <w:right w:val="single" w:sz="4" w:space="0" w:color="auto"/>
            </w:tcBorders>
          </w:tcPr>
          <w:p w:rsidR="008556AD" w:rsidRDefault="008556AD" w:rsidP="008556AD">
            <w:pPr>
              <w:pStyle w:val="NoSpacing"/>
            </w:pPr>
            <w:r>
              <w:t>Your full list of competencies will be provided to you at the commencement of your course.  The following are sample units:</w:t>
            </w:r>
          </w:p>
          <w:p w:rsidR="0073427F" w:rsidRPr="00424DB8" w:rsidRDefault="0073427F" w:rsidP="0073427F">
            <w:pPr>
              <w:pStyle w:val="NoSpacing"/>
              <w:rPr>
                <w:u w:val="single"/>
              </w:rPr>
            </w:pPr>
            <w:r w:rsidRPr="00424DB8">
              <w:rPr>
                <w:u w:val="single"/>
              </w:rPr>
              <w:t>Certificate IV in Accounting (FNS40611)</w:t>
            </w:r>
          </w:p>
          <w:p w:rsidR="0073427F" w:rsidRDefault="0073427F" w:rsidP="0073427F">
            <w:pPr>
              <w:pStyle w:val="NoSpacing"/>
            </w:pPr>
            <w:r>
              <w:t>FNSACC301A : Process financial transactions and extract interim reports</w:t>
            </w:r>
            <w:r>
              <w:tab/>
            </w:r>
          </w:p>
          <w:p w:rsidR="0073427F" w:rsidRDefault="0073427F" w:rsidP="0073427F">
            <w:pPr>
              <w:pStyle w:val="NoSpacing"/>
            </w:pPr>
            <w:r>
              <w:t>FNSACC302A : Administer subsidiary accounts and ledgers</w:t>
            </w:r>
          </w:p>
          <w:p w:rsidR="0073427F" w:rsidRDefault="0073427F" w:rsidP="0073427F">
            <w:pPr>
              <w:pStyle w:val="NoSpacing"/>
            </w:pPr>
            <w:r>
              <w:t>BSBFIA401A : Prepare financial reports</w:t>
            </w:r>
            <w:r>
              <w:tab/>
            </w:r>
          </w:p>
          <w:p w:rsidR="0073427F" w:rsidRDefault="0073427F" w:rsidP="0073427F">
            <w:pPr>
              <w:pStyle w:val="NoSpacing"/>
            </w:pPr>
            <w:r>
              <w:t>BSBOHS201A: Participate in OH &amp; S processes</w:t>
            </w:r>
          </w:p>
          <w:p w:rsidR="0073427F" w:rsidRDefault="0073427F" w:rsidP="0073427F">
            <w:pPr>
              <w:pStyle w:val="NoSpacing"/>
            </w:pPr>
            <w:r>
              <w:t>BSBITU306A: Design &amp; produce business documents</w:t>
            </w:r>
            <w:r>
              <w:tab/>
            </w:r>
          </w:p>
          <w:p w:rsidR="0073427F" w:rsidRDefault="0073427F" w:rsidP="0073427F">
            <w:pPr>
              <w:pStyle w:val="NoSpacing"/>
            </w:pPr>
            <w:r>
              <w:t>BSBITU304A: Produce Spreadsheets</w:t>
            </w:r>
          </w:p>
          <w:p w:rsidR="0073427F" w:rsidRPr="00424DB8" w:rsidRDefault="0073427F" w:rsidP="0073427F">
            <w:pPr>
              <w:pStyle w:val="NoSpacing"/>
              <w:rPr>
                <w:u w:val="single"/>
              </w:rPr>
            </w:pPr>
            <w:r w:rsidRPr="00424DB8">
              <w:rPr>
                <w:u w:val="single"/>
              </w:rPr>
              <w:t>Diploma of Accounting (FNS50210)</w:t>
            </w:r>
          </w:p>
          <w:p w:rsidR="0073427F" w:rsidRDefault="0073427F" w:rsidP="0073427F">
            <w:pPr>
              <w:pStyle w:val="NoSpacing"/>
            </w:pPr>
            <w:r>
              <w:t>BSBITU402A: Develop and use complex spreadsheets</w:t>
            </w:r>
            <w:r>
              <w:tab/>
            </w:r>
          </w:p>
          <w:p w:rsidR="0073427F" w:rsidRDefault="0073427F" w:rsidP="0073427F">
            <w:pPr>
              <w:pStyle w:val="NoSpacing"/>
            </w:pPr>
            <w:r>
              <w:t>FNSACC503A: Manage budgets and forecasts</w:t>
            </w:r>
          </w:p>
          <w:p w:rsidR="0073427F" w:rsidRDefault="0073427F" w:rsidP="0073427F">
            <w:pPr>
              <w:pStyle w:val="NoSpacing"/>
            </w:pPr>
            <w:r>
              <w:t>FNSACC506A: Implement and maintain internal control procedures</w:t>
            </w:r>
            <w:r>
              <w:tab/>
            </w:r>
          </w:p>
          <w:p w:rsidR="0073427F" w:rsidRDefault="0073427F" w:rsidP="0073427F">
            <w:pPr>
              <w:pStyle w:val="NoSpacing"/>
            </w:pPr>
            <w:r>
              <w:t>FNSACC507A: Provide management accounting information</w:t>
            </w:r>
          </w:p>
          <w:p w:rsidR="0073427F" w:rsidRDefault="0073427F" w:rsidP="0073427F">
            <w:pPr>
              <w:pStyle w:val="NoSpacing"/>
            </w:pPr>
            <w:r>
              <w:t>FNSACC501A: Provide financial and business performance information</w:t>
            </w:r>
            <w:r>
              <w:tab/>
            </w:r>
          </w:p>
          <w:p w:rsidR="0073427F" w:rsidRDefault="0073427F" w:rsidP="0073427F">
            <w:pPr>
              <w:pStyle w:val="NoSpacing"/>
            </w:pPr>
            <w:r>
              <w:t>FNSACC504A: Prepare financial reports for corporate entities</w:t>
            </w:r>
          </w:p>
          <w:p w:rsidR="00012847" w:rsidRDefault="0073427F" w:rsidP="008556AD">
            <w:pPr>
              <w:pStyle w:val="NoSpacing"/>
            </w:pPr>
            <w:r>
              <w:t>FNSFLT502A: Facilitate Customer awareness of Australian Financial Systems</w:t>
            </w:r>
            <w:r>
              <w:tab/>
            </w:r>
          </w:p>
          <w:p w:rsidR="008556AD" w:rsidRDefault="008556AD" w:rsidP="008556AD">
            <w:pPr>
              <w:pStyle w:val="NoSpacing"/>
            </w:pPr>
          </w:p>
          <w:p w:rsidR="008556AD" w:rsidRDefault="008556AD" w:rsidP="008556AD">
            <w:pPr>
              <w:pStyle w:val="NoSpacing"/>
            </w:pPr>
          </w:p>
        </w:tc>
      </w:tr>
      <w:tr w:rsidR="00135D27" w:rsidTr="00D06B22">
        <w:tc>
          <w:tcPr>
            <w:tcW w:w="785" w:type="pct"/>
            <w:tcBorders>
              <w:top w:val="single" w:sz="4" w:space="0" w:color="auto"/>
              <w:left w:val="single" w:sz="4" w:space="0" w:color="auto"/>
              <w:bottom w:val="single" w:sz="4" w:space="0" w:color="auto"/>
              <w:right w:val="single" w:sz="4" w:space="0" w:color="auto"/>
            </w:tcBorders>
          </w:tcPr>
          <w:p w:rsidR="00135D27" w:rsidRDefault="00135D27">
            <w:pPr>
              <w:pStyle w:val="NoSpacing"/>
            </w:pPr>
            <w:r>
              <w:lastRenderedPageBreak/>
              <w:t>Chisholm’s Obligations to you</w:t>
            </w:r>
          </w:p>
          <w:p w:rsidR="00135D27" w:rsidRDefault="00135D27">
            <w:pPr>
              <w:pStyle w:val="NoSpacing"/>
            </w:pPr>
          </w:p>
          <w:p w:rsidR="00135D27" w:rsidRDefault="00135D27">
            <w:pPr>
              <w:pStyle w:val="NoSpacing"/>
            </w:pPr>
          </w:p>
          <w:p w:rsidR="00135D27" w:rsidRDefault="00135D27">
            <w:pPr>
              <w:pStyle w:val="NoSpacing"/>
            </w:pPr>
          </w:p>
        </w:tc>
        <w:tc>
          <w:tcPr>
            <w:tcW w:w="4215" w:type="pct"/>
            <w:tcBorders>
              <w:top w:val="single" w:sz="4" w:space="0" w:color="auto"/>
              <w:left w:val="single" w:sz="4" w:space="0" w:color="auto"/>
              <w:bottom w:val="single" w:sz="4" w:space="0" w:color="auto"/>
              <w:right w:val="single" w:sz="4" w:space="0" w:color="auto"/>
            </w:tcBorders>
          </w:tcPr>
          <w:p w:rsidR="00135D27" w:rsidRPr="00875B95" w:rsidRDefault="00135D27" w:rsidP="001D6E07">
            <w:pPr>
              <w:pStyle w:val="NoSpacing"/>
            </w:pPr>
            <w:r w:rsidRPr="00875B95">
              <w:t>You will be enrolled as a student at Chisholm as well our Training Partner Institute. This means that Chisholm will be responsible for the quality of your training and assessment.  It also means that you will be covered by Chisholm policies in the event that our Training Partner Institute ceases delivery of this course.</w:t>
            </w:r>
            <w:r w:rsidR="00875B95" w:rsidRPr="00875B95">
              <w:t xml:space="preserve"> </w:t>
            </w:r>
          </w:p>
          <w:p w:rsidR="00135D27" w:rsidRPr="00875B95" w:rsidRDefault="00135D27">
            <w:pPr>
              <w:pStyle w:val="NoSpacing"/>
            </w:pPr>
          </w:p>
          <w:p w:rsidR="00135D27" w:rsidRPr="00875B95" w:rsidRDefault="00135D27">
            <w:pPr>
              <w:pStyle w:val="NoSpacing"/>
            </w:pPr>
            <w:r w:rsidRPr="00875B95">
              <w:t>Upon graduation you will be awarded:</w:t>
            </w:r>
          </w:p>
          <w:p w:rsidR="00135D27" w:rsidRPr="00875B95" w:rsidRDefault="00135D27" w:rsidP="00BE52BF">
            <w:pPr>
              <w:pStyle w:val="NoSpacing"/>
              <w:numPr>
                <w:ilvl w:val="0"/>
                <w:numId w:val="3"/>
              </w:numPr>
            </w:pPr>
            <w:r w:rsidRPr="00875B95">
              <w:t>Chisholm Institute English Certificate</w:t>
            </w:r>
          </w:p>
          <w:p w:rsidR="00875B95" w:rsidRPr="00875B95" w:rsidRDefault="00875B95" w:rsidP="00BE52BF">
            <w:pPr>
              <w:pStyle w:val="NoSpacing"/>
              <w:numPr>
                <w:ilvl w:val="0"/>
                <w:numId w:val="3"/>
              </w:numPr>
            </w:pPr>
            <w:r w:rsidRPr="00875B95">
              <w:t>Certificate IV in Accounting (FNS40611)</w:t>
            </w:r>
          </w:p>
          <w:p w:rsidR="00135D27" w:rsidRPr="00875B95" w:rsidRDefault="00135D27" w:rsidP="00BE52BF">
            <w:pPr>
              <w:pStyle w:val="NoSpacing"/>
              <w:numPr>
                <w:ilvl w:val="0"/>
                <w:numId w:val="3"/>
              </w:numPr>
            </w:pPr>
            <w:r w:rsidRPr="00875B95">
              <w:t>Diploma of Accounting (FNS5021</w:t>
            </w:r>
            <w:r w:rsidR="00875B95" w:rsidRPr="00875B95">
              <w:t>0</w:t>
            </w:r>
            <w:r w:rsidRPr="00875B95">
              <w:t>)</w:t>
            </w:r>
          </w:p>
          <w:p w:rsidR="00135D27" w:rsidRDefault="00135D27" w:rsidP="00BE52BF">
            <w:pPr>
              <w:pStyle w:val="NoSpacing"/>
              <w:numPr>
                <w:ilvl w:val="0"/>
                <w:numId w:val="3"/>
              </w:numPr>
            </w:pPr>
            <w:r w:rsidRPr="00875B95">
              <w:t>Diploma from your Institute</w:t>
            </w:r>
          </w:p>
          <w:p w:rsidR="008556AD" w:rsidRPr="00875B95" w:rsidRDefault="008556AD" w:rsidP="008556AD">
            <w:pPr>
              <w:pStyle w:val="NoSpacing"/>
              <w:ind w:left="720"/>
            </w:pPr>
          </w:p>
          <w:p w:rsidR="00135D27" w:rsidRPr="00875B95" w:rsidRDefault="00135D27">
            <w:pPr>
              <w:pStyle w:val="NoSpacing"/>
            </w:pPr>
            <w:r w:rsidRPr="00875B95">
              <w:t>Upon enrolment you will be provided with a Student Handbook with information about the course, units, assessment, learning resources, policies and coordinator details.</w:t>
            </w:r>
          </w:p>
          <w:p w:rsidR="00135D27" w:rsidRPr="00875B95" w:rsidRDefault="00135D27">
            <w:pPr>
              <w:pStyle w:val="NoSpacing"/>
            </w:pPr>
          </w:p>
          <w:p w:rsidR="00135D27" w:rsidRPr="00875B95" w:rsidRDefault="00135D27" w:rsidP="00012847">
            <w:pPr>
              <w:pStyle w:val="NoSpacing"/>
            </w:pPr>
            <w:r w:rsidRPr="00875B95">
              <w:t>You will also be provided with a copy of the learning resources for the course such as text books, manuals and handouts. . You will be advised by our Training Partner Institute of any additional materials and equipment you need to provide.</w:t>
            </w:r>
          </w:p>
          <w:p w:rsidR="00012847" w:rsidRPr="00875B95" w:rsidRDefault="00012847" w:rsidP="00012847">
            <w:pPr>
              <w:pStyle w:val="NoSpacing"/>
            </w:pPr>
          </w:p>
        </w:tc>
      </w:tr>
      <w:tr w:rsidR="00135D27" w:rsidTr="00D06B22">
        <w:tc>
          <w:tcPr>
            <w:tcW w:w="785" w:type="pct"/>
            <w:tcBorders>
              <w:top w:val="single" w:sz="4" w:space="0" w:color="auto"/>
              <w:left w:val="single" w:sz="4" w:space="0" w:color="auto"/>
              <w:bottom w:val="single" w:sz="4" w:space="0" w:color="auto"/>
              <w:right w:val="single" w:sz="4" w:space="0" w:color="auto"/>
            </w:tcBorders>
          </w:tcPr>
          <w:p w:rsidR="00135D27" w:rsidRDefault="00135D27">
            <w:pPr>
              <w:pStyle w:val="NoSpacing"/>
            </w:pPr>
            <w:r>
              <w:t>Grievances</w:t>
            </w:r>
          </w:p>
          <w:p w:rsidR="00135D27" w:rsidRDefault="00135D27">
            <w:pPr>
              <w:pStyle w:val="NoSpacing"/>
            </w:pPr>
          </w:p>
          <w:p w:rsidR="00135D27" w:rsidRDefault="00135D27">
            <w:pPr>
              <w:pStyle w:val="NoSpacing"/>
            </w:pPr>
          </w:p>
          <w:p w:rsidR="00135D27" w:rsidRDefault="00135D27">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135D27" w:rsidRDefault="00135D27">
            <w:pPr>
              <w:pStyle w:val="NoSpacing"/>
            </w:pPr>
            <w:r>
              <w:t xml:space="preserve">Chisholm recognises that from time to time student grievances or complaints may occur on various matters.  The Chisholm Complaint Policy is designed to facilitate the equitable and speedy resolution of these grievances. All students are entitled to fair and consistent treatment and prompt consideration and resolution of complaints. You can gain further information through your course coordinator or the Chisholm course coordinator. </w:t>
            </w:r>
          </w:p>
          <w:p w:rsidR="00135D27" w:rsidRDefault="00135D27" w:rsidP="008556AD">
            <w:pPr>
              <w:pStyle w:val="NoSpacing"/>
            </w:pPr>
            <w:r>
              <w:rPr>
                <w:color w:val="C00000"/>
              </w:rPr>
              <w:t>See link below for Complaints and Appeals Policy</w:t>
            </w:r>
          </w:p>
        </w:tc>
      </w:tr>
      <w:tr w:rsidR="00135D27" w:rsidTr="00D06B22">
        <w:tc>
          <w:tcPr>
            <w:tcW w:w="785" w:type="pct"/>
            <w:tcBorders>
              <w:top w:val="single" w:sz="4" w:space="0" w:color="auto"/>
              <w:left w:val="single" w:sz="4" w:space="0" w:color="auto"/>
              <w:bottom w:val="single" w:sz="4" w:space="0" w:color="auto"/>
              <w:right w:val="single" w:sz="4" w:space="0" w:color="auto"/>
            </w:tcBorders>
          </w:tcPr>
          <w:p w:rsidR="00135D27" w:rsidRDefault="00135D27">
            <w:pPr>
              <w:pStyle w:val="NoSpacing"/>
            </w:pPr>
            <w:r>
              <w:t>RPL</w:t>
            </w:r>
          </w:p>
          <w:p w:rsidR="00135D27" w:rsidRDefault="00135D27">
            <w:pPr>
              <w:pStyle w:val="NoSpacing"/>
            </w:pPr>
          </w:p>
          <w:p w:rsidR="00135D27" w:rsidRDefault="00135D27">
            <w:pPr>
              <w:pStyle w:val="NoSpacing"/>
            </w:pPr>
          </w:p>
          <w:p w:rsidR="00135D27" w:rsidRDefault="00135D27">
            <w:pPr>
              <w:pStyle w:val="NoSpacing"/>
            </w:pPr>
          </w:p>
        </w:tc>
        <w:tc>
          <w:tcPr>
            <w:tcW w:w="4215" w:type="pct"/>
            <w:tcBorders>
              <w:top w:val="single" w:sz="4" w:space="0" w:color="auto"/>
              <w:left w:val="single" w:sz="4" w:space="0" w:color="auto"/>
              <w:bottom w:val="single" w:sz="4" w:space="0" w:color="auto"/>
              <w:right w:val="single" w:sz="4" w:space="0" w:color="auto"/>
            </w:tcBorders>
            <w:hideMark/>
          </w:tcPr>
          <w:p w:rsidR="00892706" w:rsidRDefault="00892706" w:rsidP="00892706">
            <w:pPr>
              <w:pStyle w:val="NoSpacing"/>
            </w:pPr>
            <w:r>
              <w:t xml:space="preserve">Chisholm has a policy to provide for the assessment and various types of learning undertaken by a student prior to enrolment at Chisholm.  This may include relevant work experience and other courses of study.  This is known as Recognition of Prior Learning (RPL). </w:t>
            </w:r>
          </w:p>
          <w:p w:rsidR="00892706" w:rsidRDefault="00892706" w:rsidP="00892706">
            <w:pPr>
              <w:pStyle w:val="NoSpacing"/>
            </w:pPr>
          </w:p>
          <w:p w:rsidR="00892706" w:rsidRDefault="00892706" w:rsidP="00892706">
            <w:pPr>
              <w:pStyle w:val="NoSpacing"/>
            </w:pPr>
            <w:r>
              <w:t>You can gain further information through your course coordinator or the Chisholm course coordinator, if you believe this to be relevant to you.</w:t>
            </w:r>
          </w:p>
          <w:p w:rsidR="00135D27" w:rsidRDefault="00892706" w:rsidP="00892706">
            <w:pPr>
              <w:pStyle w:val="NoSpacing"/>
            </w:pPr>
            <w:r>
              <w:rPr>
                <w:color w:val="C00000"/>
              </w:rPr>
              <w:t>See link below for RPL  and Credit Transfer Policy</w:t>
            </w:r>
          </w:p>
        </w:tc>
      </w:tr>
      <w:tr w:rsidR="00892706" w:rsidTr="00892706">
        <w:tc>
          <w:tcPr>
            <w:tcW w:w="785" w:type="pct"/>
            <w:vMerge w:val="restart"/>
            <w:tcBorders>
              <w:top w:val="single" w:sz="4" w:space="0" w:color="auto"/>
              <w:left w:val="single" w:sz="4" w:space="0" w:color="auto"/>
              <w:bottom w:val="single" w:sz="4" w:space="0" w:color="auto"/>
              <w:right w:val="single" w:sz="4" w:space="0" w:color="auto"/>
            </w:tcBorders>
          </w:tcPr>
          <w:p w:rsidR="00892706" w:rsidRDefault="00892706">
            <w:pPr>
              <w:pStyle w:val="NoSpacing"/>
            </w:pPr>
            <w:r>
              <w:t>Chisholm Policies</w:t>
            </w:r>
          </w:p>
          <w:p w:rsidR="00892706" w:rsidRDefault="00892706">
            <w:pPr>
              <w:pStyle w:val="NoSpacing"/>
            </w:pPr>
          </w:p>
          <w:p w:rsidR="00892706" w:rsidRDefault="00892706">
            <w:pPr>
              <w:pStyle w:val="NoSpacing"/>
            </w:pPr>
          </w:p>
          <w:p w:rsidR="00892706" w:rsidRDefault="00892706">
            <w:pPr>
              <w:pStyle w:val="NoSpacing"/>
            </w:pPr>
          </w:p>
        </w:tc>
        <w:tc>
          <w:tcPr>
            <w:tcW w:w="4215" w:type="pct"/>
            <w:tcBorders>
              <w:top w:val="single" w:sz="4" w:space="0" w:color="auto"/>
              <w:left w:val="single" w:sz="4" w:space="0" w:color="auto"/>
              <w:bottom w:val="nil"/>
              <w:right w:val="single" w:sz="4" w:space="0" w:color="auto"/>
            </w:tcBorders>
          </w:tcPr>
          <w:p w:rsidR="00892706" w:rsidRDefault="00892706" w:rsidP="00DE11BF">
            <w:pPr>
              <w:pStyle w:val="NoSpacing"/>
              <w:rPr>
                <w:color w:val="C00000"/>
              </w:rPr>
            </w:pPr>
            <w:r>
              <w:rPr>
                <w:color w:val="C00000"/>
              </w:rPr>
              <w:t>Chisholm policies and procedures are available on the internet:</w:t>
            </w:r>
          </w:p>
          <w:p w:rsidR="00892706" w:rsidRDefault="003B3A8E" w:rsidP="00DE11BF">
            <w:pPr>
              <w:pStyle w:val="NoSpacing"/>
            </w:pPr>
            <w:hyperlink r:id="rId8" w:history="1">
              <w:r w:rsidR="00892706" w:rsidRPr="008C3C23">
                <w:rPr>
                  <w:rStyle w:val="Hyperlink"/>
                </w:rPr>
                <w:t>https://qms.chisholm.edu.au/</w:t>
              </w:r>
            </w:hyperlink>
          </w:p>
          <w:p w:rsidR="00892706" w:rsidRDefault="00892706" w:rsidP="00DE11BF">
            <w:pPr>
              <w:pStyle w:val="NoSpacing"/>
            </w:pPr>
          </w:p>
          <w:p w:rsidR="00892706" w:rsidRDefault="00892706" w:rsidP="00DE11BF">
            <w:pPr>
              <w:pStyle w:val="NoSpacing"/>
            </w:pPr>
            <w:r>
              <w:t>Some of the key policies relating to students are listed below:</w:t>
            </w:r>
          </w:p>
        </w:tc>
      </w:tr>
      <w:tr w:rsidR="00892706" w:rsidTr="00892706">
        <w:tc>
          <w:tcPr>
            <w:tcW w:w="0" w:type="auto"/>
            <w:vMerge/>
            <w:tcBorders>
              <w:top w:val="single" w:sz="4" w:space="0" w:color="auto"/>
              <w:left w:val="single" w:sz="4" w:space="0" w:color="auto"/>
              <w:bottom w:val="single" w:sz="4" w:space="0" w:color="auto"/>
              <w:right w:val="single" w:sz="4" w:space="0" w:color="auto"/>
            </w:tcBorders>
            <w:vAlign w:val="center"/>
            <w:hideMark/>
          </w:tcPr>
          <w:p w:rsidR="00892706" w:rsidRDefault="00892706"/>
        </w:tc>
        <w:tc>
          <w:tcPr>
            <w:tcW w:w="4215" w:type="pct"/>
            <w:tcBorders>
              <w:top w:val="nil"/>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928"/>
            </w:tblGrid>
            <w:tr w:rsidR="00892706" w:rsidTr="00DE11BF">
              <w:tc>
                <w:tcPr>
                  <w:tcW w:w="5557" w:type="dxa"/>
                  <w:hideMark/>
                </w:tcPr>
                <w:p w:rsidR="00892706" w:rsidRDefault="00892706" w:rsidP="00DE11BF">
                  <w:pPr>
                    <w:pStyle w:val="NoSpacing"/>
                    <w:numPr>
                      <w:ilvl w:val="0"/>
                      <w:numId w:val="4"/>
                    </w:numPr>
                  </w:pPr>
                  <w:r>
                    <w:t>Assessment of Learning</w:t>
                  </w:r>
                </w:p>
              </w:tc>
              <w:tc>
                <w:tcPr>
                  <w:tcW w:w="1928" w:type="dxa"/>
                  <w:hideMark/>
                </w:tcPr>
                <w:p w:rsidR="00892706" w:rsidRDefault="00892706" w:rsidP="00DE11BF">
                  <w:pPr>
                    <w:pStyle w:val="NoSpacing"/>
                  </w:pPr>
                  <w:r>
                    <w:t>QMS 111</w:t>
                  </w:r>
                </w:p>
              </w:tc>
            </w:tr>
            <w:tr w:rsidR="00892706" w:rsidTr="00DE11BF">
              <w:tc>
                <w:tcPr>
                  <w:tcW w:w="5557" w:type="dxa"/>
                  <w:hideMark/>
                </w:tcPr>
                <w:p w:rsidR="00892706" w:rsidRDefault="00892706" w:rsidP="00DE11BF">
                  <w:pPr>
                    <w:pStyle w:val="NoSpacing"/>
                    <w:numPr>
                      <w:ilvl w:val="0"/>
                      <w:numId w:val="4"/>
                    </w:numPr>
                  </w:pPr>
                  <w:r>
                    <w:t>Privacy and Freedom of  Information</w:t>
                  </w:r>
                </w:p>
              </w:tc>
              <w:tc>
                <w:tcPr>
                  <w:tcW w:w="1928" w:type="dxa"/>
                  <w:hideMark/>
                </w:tcPr>
                <w:p w:rsidR="00892706" w:rsidRDefault="00892706" w:rsidP="00DE11BF">
                  <w:pPr>
                    <w:pStyle w:val="NoSpacing"/>
                  </w:pPr>
                  <w:r>
                    <w:t>QMS 301</w:t>
                  </w:r>
                </w:p>
              </w:tc>
            </w:tr>
            <w:tr w:rsidR="00892706" w:rsidTr="00DE11BF">
              <w:tc>
                <w:tcPr>
                  <w:tcW w:w="5557" w:type="dxa"/>
                  <w:hideMark/>
                </w:tcPr>
                <w:p w:rsidR="00892706" w:rsidRDefault="00892706" w:rsidP="00DE11BF">
                  <w:pPr>
                    <w:pStyle w:val="NoSpacing"/>
                    <w:numPr>
                      <w:ilvl w:val="0"/>
                      <w:numId w:val="4"/>
                    </w:numPr>
                  </w:pPr>
                  <w:r>
                    <w:t>Copyright and Intellectual Property</w:t>
                  </w:r>
                </w:p>
              </w:tc>
              <w:tc>
                <w:tcPr>
                  <w:tcW w:w="1928" w:type="dxa"/>
                  <w:hideMark/>
                </w:tcPr>
                <w:p w:rsidR="00892706" w:rsidRDefault="00892706" w:rsidP="00DE11BF">
                  <w:pPr>
                    <w:pStyle w:val="NoSpacing"/>
                  </w:pPr>
                  <w:r>
                    <w:t>QMS 302</w:t>
                  </w:r>
                </w:p>
              </w:tc>
            </w:tr>
            <w:tr w:rsidR="00892706" w:rsidTr="00DE11BF">
              <w:tc>
                <w:tcPr>
                  <w:tcW w:w="5557" w:type="dxa"/>
                  <w:hideMark/>
                </w:tcPr>
                <w:p w:rsidR="00892706" w:rsidRDefault="00892706" w:rsidP="00DE11BF">
                  <w:pPr>
                    <w:pStyle w:val="NoSpacing"/>
                    <w:numPr>
                      <w:ilvl w:val="0"/>
                      <w:numId w:val="4"/>
                    </w:numPr>
                  </w:pPr>
                  <w:r>
                    <w:t>Complaints and Appeals</w:t>
                  </w:r>
                </w:p>
              </w:tc>
              <w:tc>
                <w:tcPr>
                  <w:tcW w:w="1928" w:type="dxa"/>
                  <w:hideMark/>
                </w:tcPr>
                <w:p w:rsidR="00892706" w:rsidRDefault="00892706" w:rsidP="00DE11BF">
                  <w:pPr>
                    <w:pStyle w:val="NoSpacing"/>
                  </w:pPr>
                  <w:r>
                    <w:t>QMS  306</w:t>
                  </w:r>
                </w:p>
              </w:tc>
            </w:tr>
            <w:tr w:rsidR="00892706" w:rsidTr="00DE11BF">
              <w:tc>
                <w:tcPr>
                  <w:tcW w:w="5557" w:type="dxa"/>
                  <w:hideMark/>
                </w:tcPr>
                <w:p w:rsidR="00892706" w:rsidRDefault="00892706" w:rsidP="00DE11BF">
                  <w:pPr>
                    <w:pStyle w:val="NoSpacing"/>
                    <w:numPr>
                      <w:ilvl w:val="0"/>
                      <w:numId w:val="4"/>
                    </w:numPr>
                  </w:pPr>
                  <w:r>
                    <w:t>Student Code of Conduct</w:t>
                  </w:r>
                </w:p>
              </w:tc>
              <w:tc>
                <w:tcPr>
                  <w:tcW w:w="1928" w:type="dxa"/>
                  <w:hideMark/>
                </w:tcPr>
                <w:p w:rsidR="00892706" w:rsidRDefault="00892706" w:rsidP="00DE11BF">
                  <w:pPr>
                    <w:pStyle w:val="NoSpacing"/>
                  </w:pPr>
                  <w:r>
                    <w:t>QMS 117</w:t>
                  </w:r>
                </w:p>
              </w:tc>
            </w:tr>
            <w:tr w:rsidR="00892706" w:rsidTr="00DE11BF">
              <w:tc>
                <w:tcPr>
                  <w:tcW w:w="5557" w:type="dxa"/>
                  <w:hideMark/>
                </w:tcPr>
                <w:p w:rsidR="00892706" w:rsidRDefault="00892706" w:rsidP="00DE11BF">
                  <w:pPr>
                    <w:pStyle w:val="NoSpacing"/>
                    <w:numPr>
                      <w:ilvl w:val="0"/>
                      <w:numId w:val="4"/>
                    </w:numPr>
                  </w:pPr>
                  <w:r>
                    <w:t>RPL and Credit Transfer</w:t>
                  </w:r>
                </w:p>
              </w:tc>
              <w:tc>
                <w:tcPr>
                  <w:tcW w:w="1928" w:type="dxa"/>
                  <w:hideMark/>
                </w:tcPr>
                <w:p w:rsidR="00892706" w:rsidRDefault="00892706" w:rsidP="00892706">
                  <w:pPr>
                    <w:pStyle w:val="NoSpacing"/>
                  </w:pPr>
                  <w:r>
                    <w:t>QMS 107</w:t>
                  </w:r>
                </w:p>
              </w:tc>
            </w:tr>
          </w:tbl>
          <w:p w:rsidR="00892706" w:rsidRDefault="00892706" w:rsidP="00DE11BF">
            <w:pPr>
              <w:rPr>
                <w:rFonts w:cs="Times New Roman"/>
              </w:rPr>
            </w:pPr>
          </w:p>
        </w:tc>
      </w:tr>
      <w:tr w:rsidR="00892706" w:rsidTr="00D06B22">
        <w:tc>
          <w:tcPr>
            <w:tcW w:w="785" w:type="pct"/>
            <w:tcBorders>
              <w:top w:val="single" w:sz="4" w:space="0" w:color="auto"/>
              <w:left w:val="single" w:sz="4" w:space="0" w:color="auto"/>
              <w:bottom w:val="single" w:sz="4" w:space="0" w:color="auto"/>
              <w:right w:val="single" w:sz="4" w:space="0" w:color="auto"/>
            </w:tcBorders>
          </w:tcPr>
          <w:p w:rsidR="00892706" w:rsidRDefault="00892706">
            <w:pPr>
              <w:pStyle w:val="NoSpacing"/>
            </w:pPr>
            <w:r>
              <w:t>Pathways</w:t>
            </w:r>
          </w:p>
          <w:p w:rsidR="00892706" w:rsidRDefault="00892706">
            <w:pPr>
              <w:pStyle w:val="NoSpacing"/>
            </w:pPr>
          </w:p>
          <w:p w:rsidR="00892706" w:rsidRDefault="00892706">
            <w:pPr>
              <w:pStyle w:val="NoSpacing"/>
            </w:pPr>
          </w:p>
          <w:p w:rsidR="00892706" w:rsidRDefault="00892706">
            <w:pPr>
              <w:pStyle w:val="NoSpacing"/>
            </w:pPr>
          </w:p>
        </w:tc>
        <w:tc>
          <w:tcPr>
            <w:tcW w:w="4215" w:type="pct"/>
            <w:tcBorders>
              <w:top w:val="single" w:sz="4" w:space="0" w:color="auto"/>
              <w:left w:val="single" w:sz="4" w:space="0" w:color="auto"/>
              <w:bottom w:val="single" w:sz="4" w:space="0" w:color="auto"/>
              <w:right w:val="single" w:sz="4" w:space="0" w:color="auto"/>
            </w:tcBorders>
          </w:tcPr>
          <w:p w:rsidR="00892706" w:rsidRDefault="00892706" w:rsidP="008556AD">
            <w:pPr>
              <w:pStyle w:val="NoSpacing"/>
            </w:pPr>
            <w:r>
              <w:t>When you complete your course at Chisholm, it opens the door to further study, either at Chisholm or another Australian Institution. In some case you will be eligible for credit transfer into university programs at the completion of your Chisholm Diploma.  You can gain further information through your course coordinator or the Chisholm course coordinator.</w:t>
            </w:r>
          </w:p>
        </w:tc>
      </w:tr>
      <w:tr w:rsidR="00892706" w:rsidTr="00D06B22">
        <w:tc>
          <w:tcPr>
            <w:tcW w:w="785" w:type="pct"/>
            <w:tcBorders>
              <w:top w:val="single" w:sz="4" w:space="0" w:color="auto"/>
              <w:left w:val="single" w:sz="4" w:space="0" w:color="auto"/>
              <w:bottom w:val="single" w:sz="4" w:space="0" w:color="auto"/>
              <w:right w:val="single" w:sz="4" w:space="0" w:color="auto"/>
            </w:tcBorders>
          </w:tcPr>
          <w:p w:rsidR="00892706" w:rsidRDefault="00892706">
            <w:pPr>
              <w:pStyle w:val="NoSpacing"/>
            </w:pPr>
            <w:r>
              <w:t>Fees</w:t>
            </w:r>
          </w:p>
          <w:p w:rsidR="00892706" w:rsidRDefault="00892706">
            <w:pPr>
              <w:pStyle w:val="NoSpacing"/>
            </w:pPr>
          </w:p>
        </w:tc>
        <w:tc>
          <w:tcPr>
            <w:tcW w:w="4215" w:type="pct"/>
            <w:tcBorders>
              <w:top w:val="single" w:sz="4" w:space="0" w:color="auto"/>
              <w:left w:val="single" w:sz="4" w:space="0" w:color="auto"/>
              <w:bottom w:val="single" w:sz="4" w:space="0" w:color="auto"/>
              <w:right w:val="single" w:sz="4" w:space="0" w:color="auto"/>
            </w:tcBorders>
          </w:tcPr>
          <w:p w:rsidR="00892706" w:rsidRDefault="00892706" w:rsidP="008556AD">
            <w:pPr>
              <w:pStyle w:val="NoSpacing"/>
            </w:pPr>
            <w:r>
              <w:t xml:space="preserve">You will be advised of the fees, payment terms and conditions and refund policy for this course by our Training Partner Institute. </w:t>
            </w:r>
          </w:p>
        </w:tc>
      </w:tr>
    </w:tbl>
    <w:p w:rsidR="00D06B22" w:rsidRDefault="00D06B22" w:rsidP="00D06B22">
      <w:pPr>
        <w:pStyle w:val="NoSpacing"/>
      </w:pPr>
    </w:p>
    <w:sectPr w:rsidR="00D06B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8E" w:rsidRDefault="003B3A8E" w:rsidP="006B532A">
      <w:pPr>
        <w:spacing w:after="0" w:line="240" w:lineRule="auto"/>
      </w:pPr>
      <w:r>
        <w:separator/>
      </w:r>
    </w:p>
  </w:endnote>
  <w:endnote w:type="continuationSeparator" w:id="0">
    <w:p w:rsidR="003B3A8E" w:rsidRDefault="003B3A8E" w:rsidP="006B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7E" w:rsidRDefault="00561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2A" w:rsidRDefault="006B532A">
    <w:pPr>
      <w:pStyle w:val="Footer"/>
    </w:pPr>
    <w:r>
      <w:t xml:space="preserve">Version 2 </w:t>
    </w:r>
    <w:r w:rsidR="008556AD">
      <w:t>Final</w:t>
    </w:r>
    <w:r>
      <w:t xml:space="preserve"> </w:t>
    </w:r>
    <w:r>
      <w:tab/>
    </w:r>
    <w:r>
      <w:tab/>
    </w:r>
    <w:r w:rsidR="00330AB0">
      <w:t>02</w:t>
    </w:r>
    <w:r>
      <w:t>/</w:t>
    </w:r>
    <w:r w:rsidR="008556AD">
      <w:t>1</w:t>
    </w:r>
    <w:r w:rsidR="00330AB0">
      <w:t>1</w:t>
    </w:r>
    <w: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7E" w:rsidRDefault="0056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8E" w:rsidRDefault="003B3A8E" w:rsidP="006B532A">
      <w:pPr>
        <w:spacing w:after="0" w:line="240" w:lineRule="auto"/>
      </w:pPr>
      <w:r>
        <w:separator/>
      </w:r>
    </w:p>
  </w:footnote>
  <w:footnote w:type="continuationSeparator" w:id="0">
    <w:p w:rsidR="003B3A8E" w:rsidRDefault="003B3A8E" w:rsidP="006B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7E" w:rsidRDefault="00561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7E" w:rsidRDefault="0056137E">
    <w:pPr>
      <w:pStyle w:val="Header"/>
    </w:pPr>
    <w:r>
      <w:t xml:space="preserve">International training partner – Suzhou </w:t>
    </w:r>
    <w:r>
      <w:t>University</w:t>
    </w:r>
    <w:bookmarkStart w:id="0" w:name="_GoBack"/>
    <w:bookmarkEnd w:id="0"/>
  </w:p>
  <w:p w:rsidR="0056137E" w:rsidRDefault="00561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7E" w:rsidRDefault="00561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4241"/>
    <w:multiLevelType w:val="hybridMultilevel"/>
    <w:tmpl w:val="1302AFD2"/>
    <w:lvl w:ilvl="0" w:tplc="B55E54A0">
      <w:numFmt w:val="bullet"/>
      <w:lvlText w:val="-"/>
      <w:lvlJc w:val="left"/>
      <w:pPr>
        <w:ind w:left="1410" w:hanging="360"/>
      </w:pPr>
      <w:rPr>
        <w:rFonts w:ascii="Calibri" w:eastAsiaTheme="minorHAnsi" w:hAnsi="Calibri" w:cstheme="minorBidi"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1">
    <w:nsid w:val="2C1A2651"/>
    <w:multiLevelType w:val="hybridMultilevel"/>
    <w:tmpl w:val="360839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D4524CA"/>
    <w:multiLevelType w:val="hybridMultilevel"/>
    <w:tmpl w:val="21422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EBD62A2"/>
    <w:multiLevelType w:val="hybridMultilevel"/>
    <w:tmpl w:val="78028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7400307"/>
    <w:multiLevelType w:val="hybridMultilevel"/>
    <w:tmpl w:val="CA662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22"/>
    <w:rsid w:val="00012847"/>
    <w:rsid w:val="00073F4B"/>
    <w:rsid w:val="00135D27"/>
    <w:rsid w:val="001D6E07"/>
    <w:rsid w:val="001E1C7A"/>
    <w:rsid w:val="003109A2"/>
    <w:rsid w:val="00330AB0"/>
    <w:rsid w:val="003B0FB6"/>
    <w:rsid w:val="003B3A8E"/>
    <w:rsid w:val="00424DB8"/>
    <w:rsid w:val="00550E9D"/>
    <w:rsid w:val="0056137E"/>
    <w:rsid w:val="005E6311"/>
    <w:rsid w:val="006B2981"/>
    <w:rsid w:val="006B4493"/>
    <w:rsid w:val="006B532A"/>
    <w:rsid w:val="0073427F"/>
    <w:rsid w:val="00825302"/>
    <w:rsid w:val="008556AD"/>
    <w:rsid w:val="00875B95"/>
    <w:rsid w:val="00892706"/>
    <w:rsid w:val="009F2565"/>
    <w:rsid w:val="00B372BD"/>
    <w:rsid w:val="00B42D2B"/>
    <w:rsid w:val="00B47E42"/>
    <w:rsid w:val="00D06B22"/>
    <w:rsid w:val="00F071AA"/>
    <w:rsid w:val="00F40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5BDD7-A503-498C-BEDD-BFD6888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B22"/>
    <w:pPr>
      <w:spacing w:after="0" w:line="240" w:lineRule="auto"/>
    </w:pPr>
  </w:style>
  <w:style w:type="character" w:styleId="Hyperlink">
    <w:name w:val="Hyperlink"/>
    <w:basedOn w:val="DefaultParagraphFont"/>
    <w:uiPriority w:val="99"/>
    <w:semiHidden/>
    <w:unhideWhenUsed/>
    <w:rsid w:val="00D06B22"/>
    <w:rPr>
      <w:color w:val="0000FF" w:themeColor="hyperlink"/>
      <w:u w:val="single"/>
    </w:rPr>
  </w:style>
  <w:style w:type="table" w:styleId="TableGrid">
    <w:name w:val="Table Grid"/>
    <w:basedOn w:val="TableNormal"/>
    <w:uiPriority w:val="59"/>
    <w:rsid w:val="00D06B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2A"/>
  </w:style>
  <w:style w:type="paragraph" w:styleId="Footer">
    <w:name w:val="footer"/>
    <w:basedOn w:val="Normal"/>
    <w:link w:val="FooterChar"/>
    <w:uiPriority w:val="99"/>
    <w:unhideWhenUsed/>
    <w:rsid w:val="006B5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2A"/>
  </w:style>
  <w:style w:type="paragraph" w:styleId="BalloonText">
    <w:name w:val="Balloon Text"/>
    <w:basedOn w:val="Normal"/>
    <w:link w:val="BalloonTextChar"/>
    <w:uiPriority w:val="99"/>
    <w:semiHidden/>
    <w:unhideWhenUsed/>
    <w:rsid w:val="006B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370">
      <w:bodyDiv w:val="1"/>
      <w:marLeft w:val="0"/>
      <w:marRight w:val="0"/>
      <w:marTop w:val="0"/>
      <w:marBottom w:val="0"/>
      <w:divBdr>
        <w:top w:val="none" w:sz="0" w:space="0" w:color="auto"/>
        <w:left w:val="none" w:sz="0" w:space="0" w:color="auto"/>
        <w:bottom w:val="none" w:sz="0" w:space="0" w:color="auto"/>
        <w:right w:val="none" w:sz="0" w:space="0" w:color="auto"/>
      </w:divBdr>
    </w:div>
    <w:div w:id="530266268">
      <w:bodyDiv w:val="1"/>
      <w:marLeft w:val="0"/>
      <w:marRight w:val="0"/>
      <w:marTop w:val="0"/>
      <w:marBottom w:val="0"/>
      <w:divBdr>
        <w:top w:val="none" w:sz="0" w:space="0" w:color="auto"/>
        <w:left w:val="none" w:sz="0" w:space="0" w:color="auto"/>
        <w:bottom w:val="none" w:sz="0" w:space="0" w:color="auto"/>
        <w:right w:val="none" w:sz="0" w:space="0" w:color="auto"/>
      </w:divBdr>
    </w:div>
    <w:div w:id="607158050">
      <w:bodyDiv w:val="1"/>
      <w:marLeft w:val="0"/>
      <w:marRight w:val="0"/>
      <w:marTop w:val="0"/>
      <w:marBottom w:val="0"/>
      <w:divBdr>
        <w:top w:val="none" w:sz="0" w:space="0" w:color="auto"/>
        <w:left w:val="none" w:sz="0" w:space="0" w:color="auto"/>
        <w:bottom w:val="none" w:sz="0" w:space="0" w:color="auto"/>
        <w:right w:val="none" w:sz="0" w:space="0" w:color="auto"/>
      </w:divBdr>
    </w:div>
    <w:div w:id="784158483">
      <w:bodyDiv w:val="1"/>
      <w:marLeft w:val="0"/>
      <w:marRight w:val="0"/>
      <w:marTop w:val="0"/>
      <w:marBottom w:val="0"/>
      <w:divBdr>
        <w:top w:val="none" w:sz="0" w:space="0" w:color="auto"/>
        <w:left w:val="none" w:sz="0" w:space="0" w:color="auto"/>
        <w:bottom w:val="none" w:sz="0" w:space="0" w:color="auto"/>
        <w:right w:val="none" w:sz="0" w:space="0" w:color="auto"/>
      </w:divBdr>
    </w:div>
    <w:div w:id="12370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s.chisholm.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x.lang@chisholm.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Accounting</dc:title>
  <dc:subject>Accounting</dc:subject>
  <dc:creator>Chisholm Institute</dc:creator>
  <cp:keywords>accounting, diploma of accounting,  </cp:keywords>
  <cp:lastModifiedBy>Matthew Wilby</cp:lastModifiedBy>
  <cp:revision>3</cp:revision>
  <cp:lastPrinted>2015-11-02T00:25:00Z</cp:lastPrinted>
  <dcterms:created xsi:type="dcterms:W3CDTF">2016-04-13T23:52:00Z</dcterms:created>
  <dcterms:modified xsi:type="dcterms:W3CDTF">2016-04-14T00:34:00Z</dcterms:modified>
  <cp:category>International training partners</cp:category>
</cp:coreProperties>
</file>