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19" w:rsidRDefault="006B3819">
      <w:pPr>
        <w:rPr>
          <w:rFonts w:eastAsiaTheme="minorHAnsi"/>
          <w:sz w:val="22"/>
          <w:szCs w:val="22"/>
          <w:lang w:val="en-AU" w:eastAsia="en-US"/>
        </w:rPr>
      </w:pPr>
      <w:bookmarkStart w:id="0" w:name="_GoBack"/>
      <w:bookmarkEnd w:id="0"/>
    </w:p>
    <w:p w:rsidR="00F05517" w:rsidRPr="006B3819" w:rsidRDefault="006B3819">
      <w:pPr>
        <w:rPr>
          <w:color w:val="C00000"/>
        </w:rPr>
      </w:pPr>
      <w:r w:rsidRPr="006B3819">
        <w:rPr>
          <w:b/>
          <w:color w:val="C00000"/>
        </w:rPr>
        <w:t>Information about studying of the Australian Qualification</w:t>
      </w:r>
    </w:p>
    <w:p w:rsidR="00F05517" w:rsidRDefault="00F05517"/>
    <w:tbl>
      <w:tblPr>
        <w:tblStyle w:val="TableGrid"/>
        <w:tblW w:w="9240" w:type="dxa"/>
        <w:tblLayout w:type="fixed"/>
        <w:tblLook w:val="04A0" w:firstRow="1" w:lastRow="0" w:firstColumn="1" w:lastColumn="0" w:noHBand="0" w:noVBand="1"/>
      </w:tblPr>
      <w:tblGrid>
        <w:gridCol w:w="1526"/>
        <w:gridCol w:w="7714"/>
      </w:tblGrid>
      <w:tr w:rsidR="007E0EA7" w:rsidTr="00321C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7" w:rsidRDefault="007E0EA7" w:rsidP="00BC4741">
            <w:pPr>
              <w:pStyle w:val="NoSpacing"/>
              <w:rPr>
                <w:b/>
                <w:color w:val="0070C0"/>
              </w:rPr>
            </w:pPr>
            <w:r w:rsidRPr="0096010C">
              <w:t>Registered Training Organisation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7" w:rsidRPr="0096010C" w:rsidRDefault="007E0EA7" w:rsidP="00BC4741">
            <w:pPr>
              <w:pStyle w:val="NoSpacing"/>
            </w:pPr>
            <w:r w:rsidRPr="0096010C">
              <w:t>Chisholm Institute</w:t>
            </w:r>
          </w:p>
          <w:p w:rsidR="007E0EA7" w:rsidRPr="0096010C" w:rsidRDefault="007E0EA7" w:rsidP="00BC4741">
            <w:pPr>
              <w:pStyle w:val="NoSpacing"/>
            </w:pPr>
            <w:r w:rsidRPr="0096010C">
              <w:t>121 Stud Road</w:t>
            </w:r>
          </w:p>
          <w:p w:rsidR="007E0EA7" w:rsidRDefault="007E0EA7" w:rsidP="00BC4741">
            <w:pPr>
              <w:pStyle w:val="NoSpacing"/>
            </w:pPr>
            <w:r w:rsidRPr="0096010C">
              <w:t>Dandenong, Victoria, Australia 3175</w:t>
            </w:r>
          </w:p>
          <w:p w:rsidR="007E0EA7" w:rsidRDefault="007E0EA7" w:rsidP="00BC4741">
            <w:pPr>
              <w:pStyle w:val="NoSpacing"/>
              <w:spacing w:before="120" w:after="120"/>
            </w:pPr>
            <w:r w:rsidRPr="0096010C">
              <w:rPr>
                <w:b/>
                <w:color w:val="0070C0"/>
              </w:rPr>
              <w:t xml:space="preserve">RTO </w:t>
            </w:r>
            <w:r>
              <w:rPr>
                <w:b/>
                <w:color w:val="0070C0"/>
              </w:rPr>
              <w:t>Registration No.</w:t>
            </w:r>
            <w:r w:rsidRPr="0096010C">
              <w:rPr>
                <w:b/>
                <w:color w:val="0070C0"/>
              </w:rPr>
              <w:t xml:space="preserve"> 260</w:t>
            </w:r>
          </w:p>
        </w:tc>
      </w:tr>
      <w:tr w:rsidR="007E0EA7" w:rsidTr="000336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7" w:rsidRDefault="007E0EA7">
            <w:pPr>
              <w:pStyle w:val="NoSpacing"/>
            </w:pPr>
            <w:r>
              <w:t xml:space="preserve">Chisholm </w:t>
            </w:r>
            <w:r w:rsidR="00F05517">
              <w:t>Contact</w:t>
            </w:r>
          </w:p>
          <w:p w:rsidR="007E0EA7" w:rsidRDefault="007E0EA7">
            <w:pPr>
              <w:pStyle w:val="NoSpacing"/>
            </w:pPr>
          </w:p>
          <w:p w:rsidR="007E0EA7" w:rsidRDefault="007E0EA7">
            <w:pPr>
              <w:pStyle w:val="NoSpacing"/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A7" w:rsidRDefault="00F05517">
            <w:pPr>
              <w:pStyle w:val="NoSpacing"/>
            </w:pPr>
            <w:r>
              <w:t>Christine Louey</w:t>
            </w:r>
          </w:p>
          <w:p w:rsidR="000F6B8A" w:rsidRDefault="000F6B8A">
            <w:pPr>
              <w:pStyle w:val="NoSpacing"/>
            </w:pPr>
            <w:r>
              <w:t>Project Manager</w:t>
            </w:r>
          </w:p>
          <w:p w:rsidR="007E0EA7" w:rsidRDefault="007E0EA7">
            <w:pPr>
              <w:pStyle w:val="NoSpacing"/>
            </w:pPr>
            <w:r>
              <w:t xml:space="preserve">Email: </w:t>
            </w:r>
            <w:hyperlink r:id="rId7" w:history="1">
              <w:r w:rsidR="00F05517" w:rsidRPr="00D8744B">
                <w:rPr>
                  <w:rStyle w:val="Hyperlink"/>
                </w:rPr>
                <w:t>christine.louey@chisholm.edu.au</w:t>
              </w:r>
            </w:hyperlink>
          </w:p>
          <w:p w:rsidR="00F05517" w:rsidRDefault="00F05517" w:rsidP="00F05517">
            <w:pPr>
              <w:pStyle w:val="NoSpacing"/>
            </w:pPr>
          </w:p>
          <w:p w:rsidR="000F6B8A" w:rsidRDefault="000F6B8A" w:rsidP="00F05517">
            <w:pPr>
              <w:pStyle w:val="NoSpacing"/>
            </w:pPr>
            <w:r>
              <w:t>Jennie Dehn</w:t>
            </w:r>
          </w:p>
          <w:p w:rsidR="000F6B8A" w:rsidRDefault="000F6B8A" w:rsidP="00F05517">
            <w:pPr>
              <w:pStyle w:val="NoSpacing"/>
            </w:pPr>
            <w:r>
              <w:t>General Manager International Projects</w:t>
            </w:r>
          </w:p>
          <w:p w:rsidR="000F6B8A" w:rsidRDefault="000F6B8A" w:rsidP="00F05517">
            <w:pPr>
              <w:pStyle w:val="NoSpacing"/>
            </w:pPr>
            <w:r>
              <w:t xml:space="preserve">Email: </w:t>
            </w:r>
            <w:hyperlink r:id="rId8" w:history="1">
              <w:r w:rsidRPr="00584F37">
                <w:rPr>
                  <w:rStyle w:val="Hyperlink"/>
                </w:rPr>
                <w:t>jennie.dehn@chisholm.edu.au</w:t>
              </w:r>
            </w:hyperlink>
            <w:r>
              <w:t xml:space="preserve"> </w:t>
            </w:r>
          </w:p>
        </w:tc>
      </w:tr>
      <w:tr w:rsidR="00F05517" w:rsidTr="000336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17" w:rsidRDefault="00F05517">
            <w:pPr>
              <w:pStyle w:val="NoSpacing"/>
            </w:pPr>
            <w:r>
              <w:t>Chisholm Course Coordinator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17" w:rsidRDefault="00F05517" w:rsidP="000F6B8A">
            <w:pPr>
              <w:pStyle w:val="NoSpacing"/>
            </w:pPr>
            <w:r>
              <w:t xml:space="preserve">Course Coordinators </w:t>
            </w:r>
            <w:r w:rsidR="000F6B8A">
              <w:t>have been appointed and details are available on request.</w:t>
            </w:r>
          </w:p>
        </w:tc>
      </w:tr>
      <w:tr w:rsidR="00F05517" w:rsidTr="000336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17" w:rsidRDefault="00E62F70">
            <w:pPr>
              <w:pStyle w:val="NoSpacing"/>
            </w:pPr>
            <w:r>
              <w:t>Course S</w:t>
            </w:r>
            <w:r w:rsidR="00F05517">
              <w:t>tructure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17" w:rsidRDefault="00F05517" w:rsidP="00F05517">
            <w:pPr>
              <w:pStyle w:val="NoSpacing"/>
              <w:numPr>
                <w:ilvl w:val="0"/>
                <w:numId w:val="6"/>
              </w:numPr>
              <w:ind w:left="459" w:hanging="425"/>
            </w:pPr>
            <w:r>
              <w:t>Six (6) months English development</w:t>
            </w:r>
          </w:p>
          <w:p w:rsidR="00F05517" w:rsidRDefault="00F05517" w:rsidP="00F05517">
            <w:pPr>
              <w:pStyle w:val="NoSpacing"/>
              <w:ind w:left="34"/>
            </w:pPr>
            <w:r>
              <w:t>PLUS</w:t>
            </w:r>
          </w:p>
          <w:p w:rsidR="00F05517" w:rsidRDefault="00F05517" w:rsidP="00F05517">
            <w:pPr>
              <w:pStyle w:val="NoSpacing"/>
              <w:numPr>
                <w:ilvl w:val="0"/>
                <w:numId w:val="6"/>
              </w:numPr>
              <w:ind w:left="459" w:hanging="425"/>
            </w:pPr>
            <w:r>
              <w:t>Two (2) years of study of Australian qualification(s) and Vietnamese required study areas</w:t>
            </w:r>
          </w:p>
        </w:tc>
      </w:tr>
      <w:tr w:rsidR="007E0EA7" w:rsidTr="000336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17" w:rsidRDefault="00F05517">
            <w:pPr>
              <w:pStyle w:val="NoSpacing"/>
            </w:pPr>
            <w:r>
              <w:t>Course</w:t>
            </w:r>
          </w:p>
          <w:p w:rsidR="007E0EA7" w:rsidRDefault="007E0EA7">
            <w:pPr>
              <w:pStyle w:val="NoSpacing"/>
            </w:pPr>
            <w:r>
              <w:t>Entry Requirements</w:t>
            </w:r>
          </w:p>
          <w:p w:rsidR="007E0EA7" w:rsidRDefault="007E0EA7">
            <w:pPr>
              <w:pStyle w:val="NoSpacing"/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A7" w:rsidRDefault="007E0EA7" w:rsidP="00F05517">
            <w:pPr>
              <w:pStyle w:val="NoSpacing"/>
              <w:numPr>
                <w:ilvl w:val="0"/>
                <w:numId w:val="7"/>
              </w:numPr>
              <w:ind w:left="459" w:hanging="425"/>
            </w:pPr>
            <w:r>
              <w:t>Successful completion of Year 12</w:t>
            </w:r>
            <w:r w:rsidR="00F05517">
              <w:t xml:space="preserve"> equivalent</w:t>
            </w:r>
          </w:p>
          <w:p w:rsidR="00F05517" w:rsidRDefault="00F05517" w:rsidP="00F05517">
            <w:pPr>
              <w:pStyle w:val="NoSpacing"/>
              <w:ind w:left="459" w:hanging="425"/>
            </w:pPr>
            <w:r>
              <w:t>AND</w:t>
            </w:r>
          </w:p>
          <w:p w:rsidR="007E0EA7" w:rsidRPr="00F05517" w:rsidRDefault="007E0EA7" w:rsidP="00F05517">
            <w:pPr>
              <w:pStyle w:val="NoSpacing"/>
              <w:numPr>
                <w:ilvl w:val="0"/>
                <w:numId w:val="7"/>
              </w:numPr>
              <w:ind w:left="459" w:hanging="425"/>
            </w:pPr>
            <w:r w:rsidRPr="00F05517">
              <w:t xml:space="preserve">English Language </w:t>
            </w:r>
            <w:r w:rsidR="00F05517" w:rsidRPr="00F05517">
              <w:t>at A2 level of the Commonwealth European Framework of Reference (CEFR)</w:t>
            </w:r>
          </w:p>
        </w:tc>
      </w:tr>
      <w:tr w:rsidR="007E0EA7" w:rsidTr="00F055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7" w:rsidRDefault="007E0EA7" w:rsidP="00F05517">
            <w:pPr>
              <w:pStyle w:val="NoSpacing"/>
            </w:pPr>
            <w:r>
              <w:t>Course Duration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A7" w:rsidRDefault="00F05517" w:rsidP="00F05517">
            <w:pPr>
              <w:pStyle w:val="NoSpacing"/>
            </w:pPr>
            <w:r>
              <w:t>2.5 YEARS OF FULL TIME STUDY</w:t>
            </w:r>
          </w:p>
        </w:tc>
      </w:tr>
      <w:tr w:rsidR="007E0EA7" w:rsidTr="000336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7" w:rsidRDefault="00E62F70">
            <w:pPr>
              <w:pStyle w:val="NoSpacing"/>
            </w:pPr>
            <w:r>
              <w:t>Course</w:t>
            </w:r>
            <w:r w:rsidR="007E0EA7">
              <w:t xml:space="preserve"> Delivery</w:t>
            </w:r>
          </w:p>
          <w:p w:rsidR="007E0EA7" w:rsidRDefault="007E0EA7">
            <w:pPr>
              <w:pStyle w:val="NoSpacing"/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A7" w:rsidRDefault="007E0EA7" w:rsidP="00E62F70">
            <w:pPr>
              <w:pStyle w:val="NoSpacing"/>
            </w:pPr>
            <w:r>
              <w:t>The c</w:t>
            </w:r>
            <w:r w:rsidR="00E62F70">
              <w:t xml:space="preserve">ourse is full time delivered on campus in workshops and classrooms </w:t>
            </w:r>
            <w:r>
              <w:t xml:space="preserve">for </w:t>
            </w:r>
            <w:r w:rsidR="00F05517">
              <w:t xml:space="preserve">approximately </w:t>
            </w:r>
            <w:r>
              <w:t xml:space="preserve">25 hours per week </w:t>
            </w:r>
            <w:r w:rsidR="00F05517">
              <w:t xml:space="preserve">over at least 40 </w:t>
            </w:r>
            <w:r>
              <w:t xml:space="preserve">weeks per year. </w:t>
            </w:r>
          </w:p>
        </w:tc>
      </w:tr>
      <w:tr w:rsidR="007E0EA7" w:rsidTr="000336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7" w:rsidRDefault="007E0EA7" w:rsidP="00E62F70">
            <w:pPr>
              <w:pStyle w:val="NoSpacing"/>
            </w:pPr>
            <w:r>
              <w:t xml:space="preserve">Course </w:t>
            </w:r>
            <w:r w:rsidR="00E62F70">
              <w:t xml:space="preserve">Units and </w:t>
            </w:r>
            <w:r w:rsidR="00F05517">
              <w:t xml:space="preserve">Overview 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A7" w:rsidRDefault="00F05517">
            <w:pPr>
              <w:pStyle w:val="NoSpacing"/>
            </w:pPr>
            <w:r>
              <w:t>Please refer to the Course specific files</w:t>
            </w:r>
          </w:p>
        </w:tc>
      </w:tr>
      <w:tr w:rsidR="007C1AC3" w:rsidTr="000336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Default="00E62F70">
            <w:pPr>
              <w:pStyle w:val="NoSpacing"/>
            </w:pPr>
            <w:r>
              <w:t>Chisholm’s Obligations to Y</w:t>
            </w:r>
            <w:r w:rsidR="007C1AC3">
              <w:t>ou</w:t>
            </w:r>
          </w:p>
          <w:p w:rsidR="007C1AC3" w:rsidRDefault="007C1AC3">
            <w:pPr>
              <w:pStyle w:val="NoSpacing"/>
            </w:pPr>
          </w:p>
          <w:p w:rsidR="007C1AC3" w:rsidRDefault="007C1AC3">
            <w:pPr>
              <w:pStyle w:val="NoSpacing"/>
            </w:pPr>
          </w:p>
          <w:p w:rsidR="007C1AC3" w:rsidRDefault="007C1AC3">
            <w:pPr>
              <w:pStyle w:val="NoSpacing"/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17" w:rsidRDefault="007C1AC3" w:rsidP="00634259">
            <w:pPr>
              <w:pStyle w:val="NoSpacing"/>
            </w:pPr>
            <w:r>
              <w:t xml:space="preserve">You will be enrolled as a Chisholm </w:t>
            </w:r>
            <w:r w:rsidR="00F05517">
              <w:t>student and as a student of the Vietnamese Vocational college.</w:t>
            </w:r>
          </w:p>
          <w:p w:rsidR="00E62F70" w:rsidRDefault="007C1AC3" w:rsidP="00E62F70">
            <w:pPr>
              <w:pStyle w:val="NoSpacing"/>
              <w:numPr>
                <w:ilvl w:val="0"/>
                <w:numId w:val="8"/>
              </w:numPr>
              <w:ind w:left="317" w:hanging="317"/>
            </w:pPr>
            <w:r>
              <w:t xml:space="preserve">This means that Chisholm </w:t>
            </w:r>
            <w:r w:rsidR="00F05517">
              <w:t>is fully</w:t>
            </w:r>
            <w:r>
              <w:t xml:space="preserve"> responsible </w:t>
            </w:r>
            <w:r w:rsidR="00E62F70">
              <w:t xml:space="preserve">for your study and for </w:t>
            </w:r>
            <w:r>
              <w:t>the quality of</w:t>
            </w:r>
            <w:r w:rsidR="00E62F70">
              <w:t xml:space="preserve"> your training and assessment.</w:t>
            </w:r>
          </w:p>
          <w:p w:rsidR="007C1AC3" w:rsidRDefault="007C1AC3" w:rsidP="00E62F70">
            <w:pPr>
              <w:pStyle w:val="NoSpacing"/>
              <w:numPr>
                <w:ilvl w:val="0"/>
                <w:numId w:val="8"/>
              </w:numPr>
              <w:ind w:left="317" w:hanging="317"/>
            </w:pPr>
            <w:r>
              <w:t xml:space="preserve">Upon enrolment you will be provided with a Student Handbook with information about the course, units, assessment, learning resources, </w:t>
            </w:r>
            <w:r w:rsidR="00E62F70">
              <w:t xml:space="preserve">Chisholm </w:t>
            </w:r>
            <w:r>
              <w:t xml:space="preserve">policies and </w:t>
            </w:r>
            <w:r w:rsidR="00E62F70">
              <w:t xml:space="preserve">both Vietnamese and Chisholm </w:t>
            </w:r>
            <w:r>
              <w:t>coordinator details.</w:t>
            </w:r>
          </w:p>
          <w:p w:rsidR="007C1AC3" w:rsidRDefault="007C1AC3" w:rsidP="00E62F70">
            <w:pPr>
              <w:pStyle w:val="NoSpacing"/>
              <w:numPr>
                <w:ilvl w:val="0"/>
                <w:numId w:val="8"/>
              </w:numPr>
              <w:ind w:left="317" w:hanging="317"/>
            </w:pPr>
            <w:r>
              <w:t xml:space="preserve">You will also be provided with a copy of the learning resources for the course such as text books, manuals and handouts. You will be advised by </w:t>
            </w:r>
            <w:r w:rsidR="00E62F70">
              <w:t xml:space="preserve">the Vietnamese Vocational College </w:t>
            </w:r>
            <w:r>
              <w:t>of any additional materials and equipment you need to provide.</w:t>
            </w:r>
          </w:p>
        </w:tc>
      </w:tr>
      <w:tr w:rsidR="007C1AC3" w:rsidTr="000336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Default="007C1AC3">
            <w:pPr>
              <w:pStyle w:val="NoSpacing"/>
            </w:pPr>
            <w:r>
              <w:t>Grievances</w:t>
            </w:r>
          </w:p>
          <w:p w:rsidR="007C1AC3" w:rsidRDefault="007C1AC3">
            <w:pPr>
              <w:pStyle w:val="NoSpacing"/>
            </w:pPr>
          </w:p>
          <w:p w:rsidR="007C1AC3" w:rsidRDefault="007C1AC3">
            <w:pPr>
              <w:pStyle w:val="NoSpacing"/>
            </w:pPr>
          </w:p>
          <w:p w:rsidR="007C1AC3" w:rsidRDefault="007C1AC3">
            <w:pPr>
              <w:pStyle w:val="NoSpacing"/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70" w:rsidRDefault="007C1AC3">
            <w:pPr>
              <w:pStyle w:val="NoSpacing"/>
            </w:pPr>
            <w:r>
              <w:t xml:space="preserve">Chisholm recognises that from time to time student grievances or complaints may occur on various matters.  The Chisholm </w:t>
            </w:r>
            <w:r w:rsidRPr="00E62F70">
              <w:rPr>
                <w:u w:val="single"/>
              </w:rPr>
              <w:t>Complaint Policy</w:t>
            </w:r>
            <w:r>
              <w:t xml:space="preserve"> is designed to facilitate the </w:t>
            </w:r>
            <w:r w:rsidR="00E62F70">
              <w:t>fair</w:t>
            </w:r>
            <w:r>
              <w:t xml:space="preserve"> and speedy resolution of these grievances. </w:t>
            </w:r>
          </w:p>
          <w:p w:rsidR="00E62F70" w:rsidRDefault="007C1AC3">
            <w:pPr>
              <w:pStyle w:val="NoSpacing"/>
            </w:pPr>
            <w:r>
              <w:t xml:space="preserve">All students are entitled to fair and consistent treatment and prompt consideration and resolution of complaints. </w:t>
            </w:r>
          </w:p>
          <w:p w:rsidR="007C1AC3" w:rsidRDefault="007C1AC3">
            <w:pPr>
              <w:pStyle w:val="NoSpacing"/>
            </w:pPr>
            <w:r>
              <w:lastRenderedPageBreak/>
              <w:t xml:space="preserve">You can gain further information through your </w:t>
            </w:r>
            <w:r w:rsidR="00E62F70">
              <w:t>Vietnamese Course C</w:t>
            </w:r>
            <w:r>
              <w:t>oordinator</w:t>
            </w:r>
            <w:r w:rsidR="00E62F70">
              <w:t>, Chisholm Contact or the Chisholm Course C</w:t>
            </w:r>
            <w:r>
              <w:t xml:space="preserve">oordinator. </w:t>
            </w:r>
          </w:p>
          <w:p w:rsidR="007C1AC3" w:rsidRDefault="007C1AC3">
            <w:pPr>
              <w:pStyle w:val="NoSpacing"/>
              <w:rPr>
                <w:color w:val="C00000"/>
              </w:rPr>
            </w:pPr>
            <w:r>
              <w:rPr>
                <w:color w:val="C00000"/>
              </w:rPr>
              <w:t>See link below for Complaints and Appeals Policy</w:t>
            </w:r>
          </w:p>
          <w:p w:rsidR="006B3819" w:rsidRDefault="006B3819">
            <w:pPr>
              <w:pStyle w:val="NoSpacing"/>
              <w:rPr>
                <w:color w:val="C00000"/>
              </w:rPr>
            </w:pPr>
          </w:p>
        </w:tc>
      </w:tr>
      <w:tr w:rsidR="007C1AC3" w:rsidTr="000336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Default="006B3819">
            <w:pPr>
              <w:pStyle w:val="NoSpacing"/>
            </w:pPr>
            <w:r>
              <w:rPr>
                <w:rFonts w:eastAsiaTheme="minorEastAsia"/>
                <w:sz w:val="24"/>
                <w:szCs w:val="24"/>
                <w:lang w:val="en-US" w:eastAsia="ja-JP"/>
              </w:rPr>
              <w:lastRenderedPageBreak/>
              <w:br w:type="page"/>
            </w:r>
            <w:r w:rsidR="00E62F70">
              <w:t>Recognition of Prior Learning</w:t>
            </w:r>
          </w:p>
          <w:p w:rsidR="007C1AC3" w:rsidRDefault="007C1AC3">
            <w:pPr>
              <w:pStyle w:val="NoSpacing"/>
            </w:pPr>
          </w:p>
          <w:p w:rsidR="007C1AC3" w:rsidRDefault="007C1AC3">
            <w:pPr>
              <w:pStyle w:val="NoSpacing"/>
            </w:pPr>
          </w:p>
          <w:p w:rsidR="007C1AC3" w:rsidRDefault="007C1AC3">
            <w:pPr>
              <w:pStyle w:val="NoSpacing"/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70" w:rsidRDefault="00DA29DE" w:rsidP="00DA29DE">
            <w:pPr>
              <w:pStyle w:val="NoSpacing"/>
            </w:pPr>
            <w:r>
              <w:t>Chisholm has a policy to</w:t>
            </w:r>
            <w:r w:rsidR="00E62F70">
              <w:t xml:space="preserve"> recognise </w:t>
            </w:r>
            <w:r>
              <w:t xml:space="preserve">various types of learning undertaken </w:t>
            </w:r>
            <w:r w:rsidR="00E62F70">
              <w:t xml:space="preserve">by a student prior to enrolment. </w:t>
            </w:r>
            <w:r>
              <w:t xml:space="preserve">This may include relevant work experience and other courses of study.  </w:t>
            </w:r>
            <w:r w:rsidR="00E62F70">
              <w:t xml:space="preserve">You will be required to provide evidence of your competence as it aligns to each unit of the course. </w:t>
            </w:r>
          </w:p>
          <w:p w:rsidR="00AF2763" w:rsidRDefault="00DA29DE" w:rsidP="00DA29DE">
            <w:pPr>
              <w:pStyle w:val="NoSpacing"/>
            </w:pPr>
            <w:r>
              <w:t xml:space="preserve">This is known as Recognition of Prior Learning (RPL). </w:t>
            </w:r>
            <w:r w:rsidR="00AF2763">
              <w:t>The purpose of RPL is to ensure you do not study AGAIN, the skills and knowledge you already have.</w:t>
            </w:r>
          </w:p>
          <w:p w:rsidR="00DA29DE" w:rsidRDefault="00DA29DE" w:rsidP="00DA29DE">
            <w:pPr>
              <w:pStyle w:val="NoSpacing"/>
            </w:pPr>
          </w:p>
          <w:p w:rsidR="00DA29DE" w:rsidRDefault="00DA29DE" w:rsidP="00DA29DE">
            <w:pPr>
              <w:pStyle w:val="NoSpacing"/>
            </w:pPr>
            <w:r>
              <w:t>You can gain further information</w:t>
            </w:r>
            <w:r w:rsidR="006B3819">
              <w:t xml:space="preserve"> from </w:t>
            </w:r>
            <w:r>
              <w:t xml:space="preserve">your </w:t>
            </w:r>
            <w:r w:rsidR="00AF2763">
              <w:t>Vietnamese Course Coordinator, Chisholm Contact or the Chisholm Course Coordinator</w:t>
            </w:r>
            <w:r>
              <w:t>, if you believe this to be relevant to you.</w:t>
            </w:r>
          </w:p>
          <w:p w:rsidR="00DA29DE" w:rsidRDefault="00DA29DE" w:rsidP="00DA29DE">
            <w:pPr>
              <w:pStyle w:val="NoSpacing"/>
              <w:rPr>
                <w:color w:val="C00000"/>
              </w:rPr>
            </w:pPr>
            <w:r>
              <w:rPr>
                <w:color w:val="C00000"/>
              </w:rPr>
              <w:t>See link below for RPL  and Credit Transfer Policy</w:t>
            </w:r>
          </w:p>
          <w:p w:rsidR="007C1AC3" w:rsidRDefault="007C1AC3">
            <w:pPr>
              <w:pStyle w:val="NoSpacing"/>
              <w:rPr>
                <w:color w:val="C00000"/>
              </w:rPr>
            </w:pPr>
          </w:p>
        </w:tc>
      </w:tr>
      <w:tr w:rsidR="00DA29DE" w:rsidTr="00DA29D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DE" w:rsidRDefault="00DA29DE">
            <w:pPr>
              <w:pStyle w:val="NoSpacing"/>
            </w:pPr>
            <w:r>
              <w:t>Chisholm Policies</w:t>
            </w:r>
          </w:p>
          <w:p w:rsidR="00DA29DE" w:rsidRDefault="00DA29DE">
            <w:pPr>
              <w:pStyle w:val="NoSpacing"/>
            </w:pPr>
          </w:p>
          <w:p w:rsidR="00DA29DE" w:rsidRDefault="00DA29DE">
            <w:pPr>
              <w:pStyle w:val="NoSpacing"/>
            </w:pPr>
          </w:p>
          <w:p w:rsidR="00DA29DE" w:rsidRDefault="00DA29DE">
            <w:pPr>
              <w:pStyle w:val="NoSpacing"/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9DE" w:rsidRDefault="00DA29DE" w:rsidP="00DE11BF">
            <w:pPr>
              <w:pStyle w:val="NoSpacing"/>
              <w:rPr>
                <w:color w:val="C00000"/>
              </w:rPr>
            </w:pPr>
            <w:r>
              <w:rPr>
                <w:color w:val="C00000"/>
              </w:rPr>
              <w:t>Chisholm policies and procedures are available on the internet:</w:t>
            </w:r>
          </w:p>
          <w:p w:rsidR="00DA29DE" w:rsidRDefault="00444D47" w:rsidP="00DE11BF">
            <w:pPr>
              <w:pStyle w:val="NoSpacing"/>
            </w:pPr>
            <w:hyperlink r:id="rId9" w:history="1">
              <w:r w:rsidR="00DA29DE" w:rsidRPr="008C3C23">
                <w:rPr>
                  <w:rStyle w:val="Hyperlink"/>
                </w:rPr>
                <w:t>https://qms.chisholm.edu.au/</w:t>
              </w:r>
            </w:hyperlink>
          </w:p>
          <w:p w:rsidR="00DA29DE" w:rsidRDefault="00DA29DE" w:rsidP="00DE11BF">
            <w:pPr>
              <w:pStyle w:val="NoSpacing"/>
            </w:pPr>
          </w:p>
          <w:p w:rsidR="00DA29DE" w:rsidRDefault="00DA29DE" w:rsidP="00DE11BF">
            <w:pPr>
              <w:pStyle w:val="NoSpacing"/>
            </w:pPr>
            <w:r>
              <w:t>Some of the key policies relating to students are listed below:</w:t>
            </w:r>
          </w:p>
        </w:tc>
      </w:tr>
      <w:tr w:rsidR="00DA29DE" w:rsidTr="00DA29D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DE" w:rsidRDefault="00DA29DE"/>
        </w:tc>
        <w:tc>
          <w:tcPr>
            <w:tcW w:w="7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1928"/>
            </w:tblGrid>
            <w:tr w:rsidR="00DA29DE" w:rsidTr="00DE11BF">
              <w:tc>
                <w:tcPr>
                  <w:tcW w:w="5557" w:type="dxa"/>
                  <w:hideMark/>
                </w:tcPr>
                <w:p w:rsidR="00DA29DE" w:rsidRDefault="00DA29DE" w:rsidP="00DE11BF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Assessment of Learning</w:t>
                  </w:r>
                </w:p>
              </w:tc>
              <w:tc>
                <w:tcPr>
                  <w:tcW w:w="1928" w:type="dxa"/>
                  <w:hideMark/>
                </w:tcPr>
                <w:p w:rsidR="00DA29DE" w:rsidRDefault="00DA29DE" w:rsidP="00DE11BF">
                  <w:pPr>
                    <w:pStyle w:val="NoSpacing"/>
                  </w:pPr>
                  <w:r>
                    <w:t>QMS 111</w:t>
                  </w:r>
                </w:p>
              </w:tc>
            </w:tr>
            <w:tr w:rsidR="00DA29DE" w:rsidTr="00DE11BF">
              <w:tc>
                <w:tcPr>
                  <w:tcW w:w="5557" w:type="dxa"/>
                  <w:hideMark/>
                </w:tcPr>
                <w:p w:rsidR="00DA29DE" w:rsidRDefault="00DA29DE" w:rsidP="00DE11BF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Privacy and Freedom of  Information</w:t>
                  </w:r>
                </w:p>
              </w:tc>
              <w:tc>
                <w:tcPr>
                  <w:tcW w:w="1928" w:type="dxa"/>
                  <w:hideMark/>
                </w:tcPr>
                <w:p w:rsidR="00DA29DE" w:rsidRDefault="00DA29DE" w:rsidP="00DE11BF">
                  <w:pPr>
                    <w:pStyle w:val="NoSpacing"/>
                  </w:pPr>
                  <w:r>
                    <w:t>QMS 301</w:t>
                  </w:r>
                </w:p>
              </w:tc>
            </w:tr>
            <w:tr w:rsidR="00DA29DE" w:rsidTr="00DE11BF">
              <w:tc>
                <w:tcPr>
                  <w:tcW w:w="5557" w:type="dxa"/>
                  <w:hideMark/>
                </w:tcPr>
                <w:p w:rsidR="00DA29DE" w:rsidRDefault="00DA29DE" w:rsidP="00DE11BF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Copyright and Intellectual Property</w:t>
                  </w:r>
                </w:p>
              </w:tc>
              <w:tc>
                <w:tcPr>
                  <w:tcW w:w="1928" w:type="dxa"/>
                  <w:hideMark/>
                </w:tcPr>
                <w:p w:rsidR="00DA29DE" w:rsidRDefault="00DA29DE" w:rsidP="00DE11BF">
                  <w:pPr>
                    <w:pStyle w:val="NoSpacing"/>
                  </w:pPr>
                  <w:r>
                    <w:t>QMS 302</w:t>
                  </w:r>
                </w:p>
              </w:tc>
            </w:tr>
            <w:tr w:rsidR="00DA29DE" w:rsidTr="00DE11BF">
              <w:tc>
                <w:tcPr>
                  <w:tcW w:w="5557" w:type="dxa"/>
                  <w:hideMark/>
                </w:tcPr>
                <w:p w:rsidR="00DA29DE" w:rsidRDefault="00DA29DE" w:rsidP="00DE11BF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Complaints and Appeals</w:t>
                  </w:r>
                </w:p>
              </w:tc>
              <w:tc>
                <w:tcPr>
                  <w:tcW w:w="1928" w:type="dxa"/>
                  <w:hideMark/>
                </w:tcPr>
                <w:p w:rsidR="00DA29DE" w:rsidRDefault="00DA29DE" w:rsidP="00DE11BF">
                  <w:pPr>
                    <w:pStyle w:val="NoSpacing"/>
                  </w:pPr>
                  <w:r>
                    <w:t>QMS  306</w:t>
                  </w:r>
                </w:p>
              </w:tc>
            </w:tr>
            <w:tr w:rsidR="00DA29DE" w:rsidTr="00DE11BF">
              <w:tc>
                <w:tcPr>
                  <w:tcW w:w="5557" w:type="dxa"/>
                  <w:hideMark/>
                </w:tcPr>
                <w:p w:rsidR="00DA29DE" w:rsidRDefault="00DA29DE" w:rsidP="00DE11BF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Student Code of Conduct</w:t>
                  </w:r>
                </w:p>
              </w:tc>
              <w:tc>
                <w:tcPr>
                  <w:tcW w:w="1928" w:type="dxa"/>
                  <w:hideMark/>
                </w:tcPr>
                <w:p w:rsidR="00DA29DE" w:rsidRDefault="00DA29DE" w:rsidP="00DE11BF">
                  <w:pPr>
                    <w:pStyle w:val="NoSpacing"/>
                  </w:pPr>
                  <w:r>
                    <w:t>QMS 117</w:t>
                  </w:r>
                </w:p>
              </w:tc>
            </w:tr>
            <w:tr w:rsidR="00DA29DE" w:rsidTr="00DE11BF">
              <w:tc>
                <w:tcPr>
                  <w:tcW w:w="5557" w:type="dxa"/>
                  <w:hideMark/>
                </w:tcPr>
                <w:p w:rsidR="00DA29DE" w:rsidRDefault="00DA29DE" w:rsidP="00DE11BF">
                  <w:pPr>
                    <w:pStyle w:val="NoSpacing"/>
                    <w:numPr>
                      <w:ilvl w:val="0"/>
                      <w:numId w:val="4"/>
                    </w:numPr>
                  </w:pPr>
                  <w:r>
                    <w:t>RPL and Credit Transfer</w:t>
                  </w:r>
                </w:p>
              </w:tc>
              <w:tc>
                <w:tcPr>
                  <w:tcW w:w="1928" w:type="dxa"/>
                  <w:hideMark/>
                </w:tcPr>
                <w:p w:rsidR="00DA29DE" w:rsidRDefault="00DA29DE" w:rsidP="00DE11BF">
                  <w:pPr>
                    <w:pStyle w:val="NoSpacing"/>
                  </w:pPr>
                  <w:r>
                    <w:t>QMS 107</w:t>
                  </w:r>
                </w:p>
                <w:p w:rsidR="00DA29DE" w:rsidRDefault="00DA29DE" w:rsidP="00DE11BF">
                  <w:pPr>
                    <w:pStyle w:val="NoSpacing"/>
                  </w:pPr>
                </w:p>
              </w:tc>
            </w:tr>
          </w:tbl>
          <w:p w:rsidR="00DA29DE" w:rsidRDefault="00DA29DE" w:rsidP="00DE11BF">
            <w:pPr>
              <w:rPr>
                <w:rFonts w:cs="Times New Roman"/>
              </w:rPr>
            </w:pPr>
          </w:p>
        </w:tc>
      </w:tr>
      <w:tr w:rsidR="00DA29DE" w:rsidTr="000336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DE" w:rsidRDefault="00DA29DE">
            <w:pPr>
              <w:pStyle w:val="NoSpacing"/>
            </w:pPr>
            <w:r>
              <w:t>Pathways</w:t>
            </w:r>
          </w:p>
          <w:p w:rsidR="00DA29DE" w:rsidRDefault="00DA29DE">
            <w:pPr>
              <w:pStyle w:val="NoSpacing"/>
            </w:pPr>
          </w:p>
          <w:p w:rsidR="00DA29DE" w:rsidRDefault="00DA29DE">
            <w:pPr>
              <w:pStyle w:val="NoSpacing"/>
            </w:pPr>
          </w:p>
          <w:p w:rsidR="00DA29DE" w:rsidRDefault="00DA29DE">
            <w:pPr>
              <w:pStyle w:val="NoSpacing"/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63" w:rsidRDefault="00DA29DE">
            <w:pPr>
              <w:pStyle w:val="NoSpacing"/>
            </w:pPr>
            <w:r>
              <w:t>When you complete your course at Chisholm, it opens the door to further study</w:t>
            </w:r>
            <w:r w:rsidR="00AF2763">
              <w:t>, at</w:t>
            </w:r>
            <w:r>
              <w:t xml:space="preserve"> Chisholm</w:t>
            </w:r>
            <w:r w:rsidR="00AF2763">
              <w:t>, another</w:t>
            </w:r>
            <w:r>
              <w:t xml:space="preserve"> Australian</w:t>
            </w:r>
            <w:r w:rsidR="00AF2763">
              <w:t xml:space="preserve"> Higher Education provider or providers anywhere in the world.</w:t>
            </w:r>
          </w:p>
          <w:p w:rsidR="000F6B8A" w:rsidRDefault="000F6B8A">
            <w:pPr>
              <w:pStyle w:val="NoSpacing"/>
            </w:pPr>
          </w:p>
          <w:p w:rsidR="00DA29DE" w:rsidRDefault="00AF2763">
            <w:pPr>
              <w:pStyle w:val="NoSpacing"/>
            </w:pPr>
            <w:r>
              <w:t>You may</w:t>
            </w:r>
            <w:r w:rsidR="00DA29DE">
              <w:t xml:space="preserve"> be eligible for </w:t>
            </w:r>
            <w:r w:rsidR="006B3819">
              <w:t>credits</w:t>
            </w:r>
            <w:r w:rsidR="00DA29DE">
              <w:t xml:space="preserve"> into </w:t>
            </w:r>
            <w:r w:rsidR="006B3819">
              <w:t xml:space="preserve">an aligned </w:t>
            </w:r>
            <w:r>
              <w:t>degree (undergraduate</w:t>
            </w:r>
            <w:r w:rsidR="006B3819">
              <w:t>) once you graduate with the Australian</w:t>
            </w:r>
            <w:r>
              <w:t xml:space="preserve"> (Chisholm) qualification.</w:t>
            </w:r>
            <w:r w:rsidR="00DA29DE">
              <w:t xml:space="preserve">  </w:t>
            </w:r>
          </w:p>
          <w:p w:rsidR="000F6B8A" w:rsidRDefault="000F6B8A">
            <w:pPr>
              <w:pStyle w:val="NoSpacing"/>
            </w:pPr>
          </w:p>
          <w:p w:rsidR="006B3819" w:rsidRDefault="006B3819" w:rsidP="006B3819">
            <w:pPr>
              <w:pStyle w:val="NoSpacing"/>
            </w:pPr>
            <w:r>
              <w:t>You can gain further information from your Vietnamese Course Coordinator, Chisholm Contact, Chisholm visiting teachers or the Chisholm Course Coordinator.</w:t>
            </w:r>
          </w:p>
          <w:p w:rsidR="00DA29DE" w:rsidRDefault="00DA29DE">
            <w:pPr>
              <w:pStyle w:val="NoSpacing"/>
            </w:pPr>
          </w:p>
        </w:tc>
      </w:tr>
      <w:tr w:rsidR="00DA29DE" w:rsidTr="000336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DE" w:rsidRDefault="00DA29DE">
            <w:pPr>
              <w:pStyle w:val="NoSpacing"/>
            </w:pPr>
            <w:r>
              <w:t>Fees</w:t>
            </w:r>
          </w:p>
          <w:p w:rsidR="00DA29DE" w:rsidRDefault="00DA29DE">
            <w:pPr>
              <w:pStyle w:val="NoSpacing"/>
            </w:pPr>
          </w:p>
          <w:p w:rsidR="00DA29DE" w:rsidRDefault="00DA29DE">
            <w:pPr>
              <w:pStyle w:val="NoSpacing"/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DE" w:rsidRDefault="00DA29DE" w:rsidP="006B3819">
            <w:pPr>
              <w:pStyle w:val="NoSpacing"/>
            </w:pPr>
            <w:r>
              <w:t xml:space="preserve">You will be advised of the fees, payment terms and conditions and refund policy for this course by </w:t>
            </w:r>
            <w:r w:rsidR="006B3819">
              <w:t>the Vietnamese Vocational College of your choice.</w:t>
            </w:r>
            <w:r>
              <w:t xml:space="preserve">  </w:t>
            </w:r>
          </w:p>
        </w:tc>
      </w:tr>
    </w:tbl>
    <w:p w:rsidR="009B3D53" w:rsidRDefault="009B3D53" w:rsidP="009B3D53">
      <w:pPr>
        <w:pStyle w:val="NoSpacing"/>
      </w:pPr>
    </w:p>
    <w:sectPr w:rsidR="009B3D53" w:rsidSect="00CA402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47" w:rsidRDefault="00444D47" w:rsidP="00C3394E">
      <w:r>
        <w:separator/>
      </w:r>
    </w:p>
  </w:endnote>
  <w:endnote w:type="continuationSeparator" w:id="0">
    <w:p w:rsidR="00444D47" w:rsidRDefault="00444D47" w:rsidP="00C3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47" w:rsidRDefault="00444D47" w:rsidP="00C3394E">
      <w:r>
        <w:separator/>
      </w:r>
    </w:p>
  </w:footnote>
  <w:footnote w:type="continuationSeparator" w:id="0">
    <w:p w:rsidR="00444D47" w:rsidRDefault="00444D47" w:rsidP="00C3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17" w:rsidRPr="00454AF9" w:rsidRDefault="00F05517" w:rsidP="00F05517">
    <w:pPr>
      <w:pStyle w:val="Header"/>
      <w:jc w:val="right"/>
      <w:rPr>
        <w:i/>
        <w:color w:val="C00000"/>
      </w:rPr>
    </w:pPr>
    <w:r w:rsidRPr="00454AF9">
      <w:rPr>
        <w:i/>
        <w:color w:val="C00000"/>
      </w:rPr>
      <w:t xml:space="preserve">Vietnam Government Vocational Reform Project </w:t>
    </w:r>
  </w:p>
  <w:p w:rsidR="00F05517" w:rsidRPr="00454AF9" w:rsidRDefault="000F6B8A" w:rsidP="00F05517">
    <w:pPr>
      <w:pStyle w:val="Header"/>
      <w:jc w:val="right"/>
      <w:rPr>
        <w:i/>
        <w:color w:val="C00000"/>
      </w:rPr>
    </w:pPr>
    <w:r>
      <w:rPr>
        <w:i/>
        <w:color w:val="C00000"/>
      </w:rPr>
      <w:t>Updated</w:t>
    </w:r>
    <w:r w:rsidR="00F05517" w:rsidRPr="00454AF9">
      <w:rPr>
        <w:i/>
        <w:color w:val="C00000"/>
      </w:rPr>
      <w:t>: August 201</w:t>
    </w:r>
    <w:r w:rsidR="00FB4462">
      <w:rPr>
        <w:i/>
        <w:color w:val="C00000"/>
      </w:rPr>
      <w:t>8</w:t>
    </w:r>
  </w:p>
  <w:p w:rsidR="00F6244D" w:rsidRDefault="00F62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379"/>
    <w:multiLevelType w:val="hybridMultilevel"/>
    <w:tmpl w:val="ABB24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8AA"/>
    <w:multiLevelType w:val="hybridMultilevel"/>
    <w:tmpl w:val="06928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2651"/>
    <w:multiLevelType w:val="hybridMultilevel"/>
    <w:tmpl w:val="3608399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524CA"/>
    <w:multiLevelType w:val="hybridMultilevel"/>
    <w:tmpl w:val="21422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D62A2"/>
    <w:multiLevelType w:val="hybridMultilevel"/>
    <w:tmpl w:val="78028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00307"/>
    <w:multiLevelType w:val="hybridMultilevel"/>
    <w:tmpl w:val="CA662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C6C8C"/>
    <w:multiLevelType w:val="hybridMultilevel"/>
    <w:tmpl w:val="439E8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53"/>
    <w:rsid w:val="000326F0"/>
    <w:rsid w:val="000336CD"/>
    <w:rsid w:val="000C6F35"/>
    <w:rsid w:val="000E09DC"/>
    <w:rsid w:val="000F6B8A"/>
    <w:rsid w:val="00145B90"/>
    <w:rsid w:val="002708B4"/>
    <w:rsid w:val="0029095C"/>
    <w:rsid w:val="00426BC4"/>
    <w:rsid w:val="00444D47"/>
    <w:rsid w:val="004A5826"/>
    <w:rsid w:val="005117DF"/>
    <w:rsid w:val="00555AAB"/>
    <w:rsid w:val="00565358"/>
    <w:rsid w:val="00634259"/>
    <w:rsid w:val="006B3819"/>
    <w:rsid w:val="007C1AC3"/>
    <w:rsid w:val="007E0EA7"/>
    <w:rsid w:val="00860752"/>
    <w:rsid w:val="00927AFD"/>
    <w:rsid w:val="009B3D53"/>
    <w:rsid w:val="00A34093"/>
    <w:rsid w:val="00A530DA"/>
    <w:rsid w:val="00AF2763"/>
    <w:rsid w:val="00B312EC"/>
    <w:rsid w:val="00C3394E"/>
    <w:rsid w:val="00CA4029"/>
    <w:rsid w:val="00CA55C3"/>
    <w:rsid w:val="00CE5324"/>
    <w:rsid w:val="00D36805"/>
    <w:rsid w:val="00DA29DE"/>
    <w:rsid w:val="00DD4E8B"/>
    <w:rsid w:val="00E62F70"/>
    <w:rsid w:val="00E7366E"/>
    <w:rsid w:val="00F05246"/>
    <w:rsid w:val="00F05517"/>
    <w:rsid w:val="00F5092F"/>
    <w:rsid w:val="00F6244D"/>
    <w:rsid w:val="00F7294A"/>
    <w:rsid w:val="00FB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B4ABD"/>
  <w15:docId w15:val="{A3AC4578-3DBB-4FF6-9A04-E7DEF878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B4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D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708B4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2708B4"/>
    <w:rPr>
      <w:rFonts w:ascii="Times New Roman" w:eastAsia="Times New Roman" w:hAnsi="Times New Roman" w:cs="Times New Roman"/>
      <w:sz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3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4E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3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4E"/>
    <w:rPr>
      <w:rFonts w:eastAsiaTheme="minorEastAsia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4E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e.dehn@chisholm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e.louey@chisholm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qms.chisholm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studying of the Australian Qualification</vt:lpstr>
    </vt:vector>
  </TitlesOfParts>
  <Company>Chisholm Institute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studying of the Australian Qualification</dc:title>
  <dc:subject>Education and Training</dc:subject>
  <dc:creator>Chisholm Institute</dc:creator>
  <cp:keywords/>
  <cp:lastModifiedBy>Jennie Dehn</cp:lastModifiedBy>
  <cp:revision>2</cp:revision>
  <cp:lastPrinted>2018-08-28T00:25:00Z</cp:lastPrinted>
  <dcterms:created xsi:type="dcterms:W3CDTF">2018-08-28T00:49:00Z</dcterms:created>
  <dcterms:modified xsi:type="dcterms:W3CDTF">2018-08-28T00:49:00Z</dcterms:modified>
  <cp:category>Education and Training</cp:category>
</cp:coreProperties>
</file>