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526"/>
        <w:gridCol w:w="7716"/>
      </w:tblGrid>
      <w:tr w:rsidR="00410B9F" w:rsidTr="00706679">
        <w:tc>
          <w:tcPr>
            <w:tcW w:w="1526" w:type="dxa"/>
            <w:shd w:val="clear" w:color="auto" w:fill="FFFF00"/>
          </w:tcPr>
          <w:p w:rsidR="00410B9F" w:rsidRDefault="00410B9F" w:rsidP="004E3718">
            <w:pPr>
              <w:pStyle w:val="NoSpacing"/>
              <w:spacing w:before="120" w:after="120"/>
              <w:rPr>
                <w:b/>
                <w:color w:val="0070C0"/>
              </w:rPr>
            </w:pPr>
            <w:r>
              <w:rPr>
                <w:b/>
                <w:color w:val="0070C0"/>
              </w:rPr>
              <w:t>Course</w:t>
            </w:r>
          </w:p>
        </w:tc>
        <w:tc>
          <w:tcPr>
            <w:tcW w:w="7716" w:type="dxa"/>
            <w:shd w:val="clear" w:color="auto" w:fill="FFFF00"/>
          </w:tcPr>
          <w:p w:rsidR="00410B9F" w:rsidRDefault="00410B9F" w:rsidP="00410B9F">
            <w:pPr>
              <w:pStyle w:val="NoSpacing"/>
              <w:spacing w:before="120" w:after="120"/>
              <w:rPr>
                <w:b/>
                <w:color w:val="0070C0"/>
              </w:rPr>
            </w:pPr>
            <w:r>
              <w:rPr>
                <w:b/>
                <w:color w:val="0070C0"/>
              </w:rPr>
              <w:t>AUR30612 Certificate III in Light Vehicle Mechanical Technology</w:t>
            </w:r>
          </w:p>
        </w:tc>
      </w:tr>
      <w:tr w:rsidR="00866F96" w:rsidTr="00BB4F61">
        <w:tc>
          <w:tcPr>
            <w:tcW w:w="1526" w:type="dxa"/>
          </w:tcPr>
          <w:p w:rsidR="00866F96" w:rsidRDefault="00866F96" w:rsidP="00BC4741">
            <w:pPr>
              <w:pStyle w:val="NoSpacing"/>
              <w:rPr>
                <w:b/>
                <w:color w:val="0070C0"/>
              </w:rPr>
            </w:pPr>
            <w:r w:rsidRPr="0096010C">
              <w:t>Registered Training Organisation</w:t>
            </w:r>
          </w:p>
        </w:tc>
        <w:tc>
          <w:tcPr>
            <w:tcW w:w="7716" w:type="dxa"/>
          </w:tcPr>
          <w:p w:rsidR="00866F96" w:rsidRPr="0096010C" w:rsidRDefault="00866F96" w:rsidP="00BC4741">
            <w:pPr>
              <w:pStyle w:val="NoSpacing"/>
            </w:pPr>
            <w:r w:rsidRPr="0096010C">
              <w:t>Chisholm Institute</w:t>
            </w:r>
          </w:p>
          <w:p w:rsidR="00866F96" w:rsidRPr="0096010C" w:rsidRDefault="00866F96" w:rsidP="00BC4741">
            <w:pPr>
              <w:pStyle w:val="NoSpacing"/>
            </w:pPr>
            <w:r w:rsidRPr="0096010C">
              <w:t>121 Stud Road</w:t>
            </w:r>
          </w:p>
          <w:p w:rsidR="00866F96" w:rsidRDefault="00866F96" w:rsidP="00BC4741">
            <w:pPr>
              <w:pStyle w:val="NoSpacing"/>
            </w:pPr>
            <w:r w:rsidRPr="0096010C">
              <w:t>Dandenong, Victoria, Australia 3175</w:t>
            </w:r>
          </w:p>
          <w:p w:rsidR="00866F96" w:rsidRDefault="00866F96" w:rsidP="00BC4741">
            <w:pPr>
              <w:pStyle w:val="NoSpacing"/>
              <w:spacing w:before="120" w:after="120"/>
            </w:pPr>
            <w:r w:rsidRPr="0096010C">
              <w:rPr>
                <w:b/>
                <w:color w:val="0070C0"/>
              </w:rPr>
              <w:t xml:space="preserve">RTO </w:t>
            </w:r>
            <w:r>
              <w:rPr>
                <w:b/>
                <w:color w:val="0070C0"/>
              </w:rPr>
              <w:t>Registration No.</w:t>
            </w:r>
            <w:r w:rsidRPr="0096010C">
              <w:rPr>
                <w:b/>
                <w:color w:val="0070C0"/>
              </w:rPr>
              <w:t xml:space="preserve"> 260</w:t>
            </w:r>
          </w:p>
        </w:tc>
      </w:tr>
      <w:tr w:rsidR="00410B9F" w:rsidTr="00BB4F61">
        <w:tc>
          <w:tcPr>
            <w:tcW w:w="1526" w:type="dxa"/>
          </w:tcPr>
          <w:p w:rsidR="00410B9F" w:rsidRDefault="00410B9F" w:rsidP="00773EE7">
            <w:pPr>
              <w:pStyle w:val="NoSpacing"/>
            </w:pPr>
            <w:bookmarkStart w:id="0" w:name="_GoBack"/>
            <w:r>
              <w:t>Contact Details for Course Coordinator</w:t>
            </w:r>
          </w:p>
        </w:tc>
        <w:tc>
          <w:tcPr>
            <w:tcW w:w="7716" w:type="dxa"/>
          </w:tcPr>
          <w:p w:rsidR="00410B9F" w:rsidRDefault="00410B9F" w:rsidP="007A781F">
            <w:pPr>
              <w:pStyle w:val="NoSpacing"/>
            </w:pPr>
            <w:r>
              <w:t>Chisholm Coordinator:</w:t>
            </w:r>
          </w:p>
          <w:p w:rsidR="00410B9F" w:rsidRDefault="00410B9F" w:rsidP="008D2D59">
            <w:pPr>
              <w:pStyle w:val="NoSpacing"/>
            </w:pPr>
            <w:r>
              <w:t>David Adams</w:t>
            </w:r>
          </w:p>
          <w:p w:rsidR="00410B9F" w:rsidRDefault="00410B9F" w:rsidP="008D2D59">
            <w:pPr>
              <w:pStyle w:val="NoSpacing"/>
            </w:pPr>
            <w:r>
              <w:t xml:space="preserve">Email: </w:t>
            </w:r>
            <w:hyperlink r:id="rId7" w:history="1">
              <w:r w:rsidRPr="009152AE">
                <w:rPr>
                  <w:rStyle w:val="Hyperlink"/>
                </w:rPr>
                <w:t>david.adams@chisholm.edu.au</w:t>
              </w:r>
            </w:hyperlink>
          </w:p>
          <w:p w:rsidR="00410B9F" w:rsidRDefault="00410B9F" w:rsidP="008D2D59">
            <w:pPr>
              <w:pStyle w:val="NoSpacing"/>
            </w:pPr>
            <w:r>
              <w:t>Telephone: +61 3 9238 8129</w:t>
            </w:r>
          </w:p>
          <w:p w:rsidR="00410B9F" w:rsidRDefault="00410B9F" w:rsidP="0097485E">
            <w:pPr>
              <w:pStyle w:val="NoSpacing"/>
            </w:pPr>
          </w:p>
        </w:tc>
      </w:tr>
      <w:bookmarkEnd w:id="0"/>
      <w:tr w:rsidR="00410B9F" w:rsidTr="00BB4F61">
        <w:tc>
          <w:tcPr>
            <w:tcW w:w="1526" w:type="dxa"/>
          </w:tcPr>
          <w:p w:rsidR="00410B9F" w:rsidRDefault="00410B9F" w:rsidP="007A781F">
            <w:pPr>
              <w:pStyle w:val="NoSpacing"/>
            </w:pPr>
            <w:r>
              <w:t>Entry Requirements</w:t>
            </w:r>
          </w:p>
          <w:p w:rsidR="00410B9F" w:rsidRDefault="00410B9F" w:rsidP="007A781F">
            <w:pPr>
              <w:pStyle w:val="NoSpacing"/>
            </w:pPr>
          </w:p>
        </w:tc>
        <w:tc>
          <w:tcPr>
            <w:tcW w:w="7716" w:type="dxa"/>
          </w:tcPr>
          <w:p w:rsidR="00410B9F" w:rsidRDefault="00410B9F" w:rsidP="0078557A">
            <w:pPr>
              <w:pStyle w:val="NoSpacing"/>
            </w:pPr>
            <w:r>
              <w:t>Applicants must meet the following requirements:</w:t>
            </w:r>
          </w:p>
          <w:p w:rsidR="00410B9F" w:rsidRDefault="00410B9F" w:rsidP="0078557A">
            <w:pPr>
              <w:pStyle w:val="NoSpacing"/>
              <w:numPr>
                <w:ilvl w:val="0"/>
                <w:numId w:val="5"/>
              </w:numPr>
            </w:pPr>
            <w:r>
              <w:t>Be a high school graduate</w:t>
            </w:r>
          </w:p>
          <w:p w:rsidR="00410B9F" w:rsidRDefault="00410B9F" w:rsidP="0078557A">
            <w:pPr>
              <w:pStyle w:val="NoSpacing"/>
              <w:numPr>
                <w:ilvl w:val="0"/>
                <w:numId w:val="5"/>
              </w:numPr>
            </w:pPr>
            <w:r>
              <w:t>Be at least 16 years old on enrolment</w:t>
            </w:r>
          </w:p>
          <w:p w:rsidR="00410B9F" w:rsidRDefault="00410B9F" w:rsidP="0078557A">
            <w:pPr>
              <w:pStyle w:val="NoSpacing"/>
              <w:numPr>
                <w:ilvl w:val="0"/>
                <w:numId w:val="5"/>
              </w:numPr>
            </w:pPr>
            <w:r>
              <w:t>Pass written entrance exam, practical exam and medical exam</w:t>
            </w:r>
          </w:p>
          <w:p w:rsidR="00410B9F" w:rsidRDefault="00410B9F" w:rsidP="0078557A">
            <w:pPr>
              <w:pStyle w:val="NoSpacing"/>
              <w:numPr>
                <w:ilvl w:val="0"/>
                <w:numId w:val="5"/>
              </w:numPr>
            </w:pPr>
            <w:r>
              <w:t>Have a valid police clearance</w:t>
            </w:r>
          </w:p>
          <w:p w:rsidR="00410B9F" w:rsidRDefault="00410B9F" w:rsidP="0078557A">
            <w:pPr>
              <w:pStyle w:val="NoSpacing"/>
              <w:numPr>
                <w:ilvl w:val="0"/>
                <w:numId w:val="5"/>
              </w:numPr>
            </w:pPr>
            <w:r>
              <w:t>Attend an interview.</w:t>
            </w:r>
          </w:p>
          <w:p w:rsidR="00410B9F" w:rsidRDefault="00410B9F" w:rsidP="0078557A">
            <w:pPr>
              <w:pStyle w:val="NoSpacing"/>
            </w:pPr>
          </w:p>
        </w:tc>
      </w:tr>
      <w:tr w:rsidR="00410B9F" w:rsidTr="00BB4F61">
        <w:tc>
          <w:tcPr>
            <w:tcW w:w="1526" w:type="dxa"/>
          </w:tcPr>
          <w:p w:rsidR="00410B9F" w:rsidRDefault="00410B9F" w:rsidP="007A781F">
            <w:pPr>
              <w:pStyle w:val="NoSpacing"/>
            </w:pPr>
            <w:r>
              <w:t>Course Duration</w:t>
            </w:r>
          </w:p>
          <w:p w:rsidR="00410B9F" w:rsidRDefault="00410B9F" w:rsidP="007A781F">
            <w:pPr>
              <w:pStyle w:val="NoSpacing"/>
            </w:pPr>
          </w:p>
        </w:tc>
        <w:tc>
          <w:tcPr>
            <w:tcW w:w="7716" w:type="dxa"/>
          </w:tcPr>
          <w:p w:rsidR="00410B9F" w:rsidRDefault="00410B9F" w:rsidP="007C2BAD">
            <w:pPr>
              <w:pStyle w:val="NoSpacing"/>
            </w:pPr>
            <w:r>
              <w:t>The total duration of the course is two years.  The course is delivered concurrently with the TESDA National Certificate in Automotive Servicing</w:t>
            </w:r>
          </w:p>
        </w:tc>
      </w:tr>
      <w:tr w:rsidR="00410B9F" w:rsidTr="00BB4F61">
        <w:tc>
          <w:tcPr>
            <w:tcW w:w="1526" w:type="dxa"/>
          </w:tcPr>
          <w:p w:rsidR="00410B9F" w:rsidRDefault="00410B9F" w:rsidP="007A781F">
            <w:pPr>
              <w:pStyle w:val="NoSpacing"/>
            </w:pPr>
            <w:r>
              <w:t>Method of Delivery</w:t>
            </w:r>
          </w:p>
          <w:p w:rsidR="00410B9F" w:rsidRDefault="00410B9F" w:rsidP="007A781F">
            <w:pPr>
              <w:pStyle w:val="NoSpacing"/>
            </w:pPr>
          </w:p>
        </w:tc>
        <w:tc>
          <w:tcPr>
            <w:tcW w:w="7716" w:type="dxa"/>
          </w:tcPr>
          <w:p w:rsidR="00410B9F" w:rsidRDefault="00410B9F" w:rsidP="00410B9F">
            <w:pPr>
              <w:pStyle w:val="NoSpacing"/>
            </w:pPr>
            <w:r w:rsidRPr="00A31F74">
              <w:t>The course is full time</w:t>
            </w:r>
            <w:r>
              <w:t xml:space="preserve"> and </w:t>
            </w:r>
            <w:r w:rsidRPr="00A31F74">
              <w:t xml:space="preserve">delivered in class and practical </w:t>
            </w:r>
            <w:proofErr w:type="gramStart"/>
            <w:r w:rsidRPr="00A31F74">
              <w:t>workshops .</w:t>
            </w:r>
            <w:proofErr w:type="gramEnd"/>
            <w:r w:rsidRPr="00A31F74">
              <w:t xml:space="preserve">  The course delivery is integrated into the TESDA</w:t>
            </w:r>
            <w:r>
              <w:t xml:space="preserve"> National Certificate in Automotive Servicing. </w:t>
            </w:r>
          </w:p>
        </w:tc>
      </w:tr>
      <w:tr w:rsidR="00410B9F" w:rsidTr="00BB4F61">
        <w:tc>
          <w:tcPr>
            <w:tcW w:w="1526" w:type="dxa"/>
          </w:tcPr>
          <w:p w:rsidR="00410B9F" w:rsidRDefault="00410B9F" w:rsidP="007A781F">
            <w:pPr>
              <w:pStyle w:val="NoSpacing"/>
            </w:pPr>
            <w:r>
              <w:t>Course Overview</w:t>
            </w:r>
          </w:p>
          <w:p w:rsidR="00410B9F" w:rsidRDefault="00410B9F" w:rsidP="007A781F">
            <w:pPr>
              <w:pStyle w:val="NoSpacing"/>
            </w:pPr>
          </w:p>
        </w:tc>
        <w:tc>
          <w:tcPr>
            <w:tcW w:w="7716" w:type="dxa"/>
          </w:tcPr>
          <w:p w:rsidR="00410B9F" w:rsidRDefault="00410B9F" w:rsidP="005B3D1E">
            <w:pPr>
              <w:pStyle w:val="NoSpacing"/>
            </w:pPr>
            <w:r>
              <w:t>The course enables you to learn the specialist mechanical skills required to service and repair light vehicles.  When you complete this course you will have the confidence to work on a broad range of light vehicle components and systems.</w:t>
            </w:r>
          </w:p>
          <w:p w:rsidR="00410B9F" w:rsidRPr="00CD275C" w:rsidRDefault="00410B9F" w:rsidP="005B3D1E">
            <w:pPr>
              <w:pStyle w:val="NoSpacing"/>
            </w:pPr>
          </w:p>
        </w:tc>
      </w:tr>
      <w:tr w:rsidR="002D36A8" w:rsidTr="00BB4F61">
        <w:tc>
          <w:tcPr>
            <w:tcW w:w="1526" w:type="dxa"/>
          </w:tcPr>
          <w:p w:rsidR="002D36A8" w:rsidRDefault="00706679" w:rsidP="00686415">
            <w:pPr>
              <w:pStyle w:val="NoSpacing"/>
            </w:pPr>
            <w:r>
              <w:t xml:space="preserve">Sample </w:t>
            </w:r>
            <w:r w:rsidR="002D36A8">
              <w:t>Units of Competency</w:t>
            </w:r>
          </w:p>
          <w:p w:rsidR="002D36A8" w:rsidRDefault="002D36A8" w:rsidP="00686415">
            <w:pPr>
              <w:pStyle w:val="NoSpacing"/>
            </w:pPr>
          </w:p>
          <w:p w:rsidR="002D36A8" w:rsidRDefault="002D36A8" w:rsidP="00686415">
            <w:pPr>
              <w:pStyle w:val="NoSpacing"/>
            </w:pPr>
          </w:p>
        </w:tc>
        <w:tc>
          <w:tcPr>
            <w:tcW w:w="7716" w:type="dxa"/>
          </w:tcPr>
          <w:p w:rsidR="00706679" w:rsidRDefault="00706679" w:rsidP="00642261">
            <w:pPr>
              <w:pStyle w:val="NoSpacing"/>
            </w:pPr>
            <w:r>
              <w:t>Your full list of competencies will be provided to you at the commencement of your course.  The following are sample units:</w:t>
            </w:r>
          </w:p>
          <w:p w:rsidR="00642261" w:rsidRPr="00096364" w:rsidRDefault="00642261" w:rsidP="00642261">
            <w:pPr>
              <w:pStyle w:val="NoSpacing"/>
            </w:pPr>
            <w:r w:rsidRPr="00096364">
              <w:t xml:space="preserve">AURASA2002 </w:t>
            </w:r>
            <w:r w:rsidR="00706679">
              <w:t xml:space="preserve"> - </w:t>
            </w:r>
            <w:r w:rsidRPr="00096364">
              <w:t>Apply Safe Working Practices In An Automotive Workplace</w:t>
            </w:r>
          </w:p>
          <w:p w:rsidR="00642261" w:rsidRPr="00096364" w:rsidRDefault="00642261" w:rsidP="00642261">
            <w:pPr>
              <w:pStyle w:val="NoSpacing"/>
            </w:pPr>
            <w:r w:rsidRPr="00096364">
              <w:t>AURAEA3003</w:t>
            </w:r>
            <w:r w:rsidR="00706679">
              <w:t xml:space="preserve"> - </w:t>
            </w:r>
            <w:r w:rsidRPr="00096364">
              <w:t xml:space="preserve"> Monitor Environmental And Sustainability Best Practice In The Automotive Mechanical Industry </w:t>
            </w:r>
          </w:p>
          <w:p w:rsidR="00642261" w:rsidRPr="00096364" w:rsidRDefault="00642261" w:rsidP="00642261">
            <w:pPr>
              <w:pStyle w:val="NoSpacing"/>
            </w:pPr>
            <w:r w:rsidRPr="00096364">
              <w:t>AURTTK2002</w:t>
            </w:r>
            <w:r w:rsidR="00706679">
              <w:t xml:space="preserve"> -</w:t>
            </w:r>
            <w:r w:rsidRPr="00096364">
              <w:t xml:space="preserve">  Use And Maintain Workplace Tools And Equipment </w:t>
            </w:r>
          </w:p>
          <w:p w:rsidR="00642261" w:rsidRPr="00096364" w:rsidRDefault="00642261" w:rsidP="00642261">
            <w:pPr>
              <w:pStyle w:val="NoSpacing"/>
            </w:pPr>
            <w:r w:rsidRPr="00096364">
              <w:t>AURTTA2004</w:t>
            </w:r>
            <w:r w:rsidR="00706679">
              <w:t xml:space="preserve"> -</w:t>
            </w:r>
            <w:r w:rsidRPr="00096364">
              <w:t xml:space="preserve"> Carry Out Servicing Operations </w:t>
            </w:r>
          </w:p>
          <w:p w:rsidR="00642261" w:rsidRPr="00096364" w:rsidRDefault="00642261" w:rsidP="00642261">
            <w:pPr>
              <w:pStyle w:val="NoSpacing"/>
            </w:pPr>
            <w:r w:rsidRPr="00096364">
              <w:t>AURTTE2004</w:t>
            </w:r>
            <w:r w:rsidR="00706679">
              <w:t xml:space="preserve"> -</w:t>
            </w:r>
            <w:r w:rsidRPr="00096364">
              <w:t xml:space="preserve">  Inspect And Service Engines </w:t>
            </w:r>
          </w:p>
          <w:p w:rsidR="00642261" w:rsidRPr="00096364" w:rsidRDefault="00642261" w:rsidP="00642261">
            <w:pPr>
              <w:pStyle w:val="NoSpacing"/>
            </w:pPr>
            <w:r w:rsidRPr="00096364">
              <w:t>AURTTC3003</w:t>
            </w:r>
            <w:r w:rsidR="00706679">
              <w:t xml:space="preserve"> -</w:t>
            </w:r>
            <w:r w:rsidRPr="00096364">
              <w:t xml:space="preserve">  Diagnose And Repair Cooling Systems </w:t>
            </w:r>
          </w:p>
          <w:p w:rsidR="00642261" w:rsidRPr="00096364" w:rsidRDefault="00642261" w:rsidP="00642261">
            <w:pPr>
              <w:pStyle w:val="NoSpacing"/>
            </w:pPr>
            <w:r w:rsidRPr="00096364">
              <w:t>AURTTB2001</w:t>
            </w:r>
            <w:r w:rsidR="00706679">
              <w:t xml:space="preserve"> -</w:t>
            </w:r>
            <w:r w:rsidRPr="00096364">
              <w:t xml:space="preserve"> Inspect And Service Braking Systems </w:t>
            </w:r>
          </w:p>
          <w:p w:rsidR="00642261" w:rsidRPr="00096364" w:rsidRDefault="00642261" w:rsidP="00642261">
            <w:pPr>
              <w:pStyle w:val="NoSpacing"/>
            </w:pPr>
            <w:r w:rsidRPr="00096364">
              <w:t>AURLTB3003</w:t>
            </w:r>
            <w:r w:rsidR="00706679">
              <w:t xml:space="preserve"> -</w:t>
            </w:r>
            <w:r w:rsidRPr="00096364">
              <w:t xml:space="preserve">  Diagnose And Repair Light Vehicle Hydraulic Braking Systems </w:t>
            </w:r>
          </w:p>
          <w:p w:rsidR="00642261" w:rsidRPr="00096364" w:rsidRDefault="00642261" w:rsidP="00642261">
            <w:pPr>
              <w:pStyle w:val="NoSpacing"/>
            </w:pPr>
            <w:r w:rsidRPr="00096364">
              <w:t>AURETR3025</w:t>
            </w:r>
            <w:r w:rsidR="00706679">
              <w:t xml:space="preserve"> -</w:t>
            </w:r>
            <w:r w:rsidRPr="00096364">
              <w:t xml:space="preserve">  Test, Charge And Replace Batteries </w:t>
            </w:r>
          </w:p>
          <w:p w:rsidR="00642261" w:rsidRPr="00096364" w:rsidRDefault="00642261" w:rsidP="00642261">
            <w:pPr>
              <w:pStyle w:val="NoSpacing"/>
            </w:pPr>
            <w:r w:rsidRPr="00096364">
              <w:t xml:space="preserve">AURETR2012 </w:t>
            </w:r>
            <w:r w:rsidR="00706679">
              <w:t>-</w:t>
            </w:r>
            <w:r w:rsidRPr="00096364">
              <w:t xml:space="preserve"> Test And Repair Basic Electrical Circuits </w:t>
            </w:r>
          </w:p>
          <w:p w:rsidR="00642261" w:rsidRPr="00096364" w:rsidRDefault="00642261" w:rsidP="00642261">
            <w:pPr>
              <w:pStyle w:val="NoSpacing"/>
            </w:pPr>
            <w:r w:rsidRPr="00096364">
              <w:t>AURLTD3004</w:t>
            </w:r>
            <w:r w:rsidR="00706679">
              <w:t xml:space="preserve"> -</w:t>
            </w:r>
            <w:r w:rsidRPr="00096364">
              <w:t xml:space="preserve">  Repair Steering Systems (Light Vehicle)</w:t>
            </w:r>
          </w:p>
          <w:p w:rsidR="00642261" w:rsidRPr="00096364" w:rsidRDefault="00642261" w:rsidP="00642261">
            <w:pPr>
              <w:pStyle w:val="NoSpacing"/>
            </w:pPr>
            <w:r w:rsidRPr="00096364">
              <w:t>AURLTD3005</w:t>
            </w:r>
            <w:r w:rsidR="00706679">
              <w:t xml:space="preserve"> -</w:t>
            </w:r>
            <w:r w:rsidRPr="00096364">
              <w:t xml:space="preserve">  Repair Suspension Systems (Light Vehicle) </w:t>
            </w:r>
          </w:p>
          <w:p w:rsidR="00642261" w:rsidRPr="00096364" w:rsidRDefault="00642261" w:rsidP="00642261">
            <w:pPr>
              <w:pStyle w:val="NoSpacing"/>
            </w:pPr>
            <w:r w:rsidRPr="00096364">
              <w:t>AURETR3030</w:t>
            </w:r>
            <w:r w:rsidR="00706679">
              <w:t xml:space="preserve"> -</w:t>
            </w:r>
            <w:r w:rsidRPr="00096364">
              <w:t xml:space="preserve">  Diagnose And Repair Starting Systems </w:t>
            </w:r>
          </w:p>
          <w:p w:rsidR="002D36A8" w:rsidRDefault="002D36A8" w:rsidP="00706679">
            <w:pPr>
              <w:pStyle w:val="NoSpacing"/>
            </w:pPr>
          </w:p>
        </w:tc>
      </w:tr>
      <w:tr w:rsidR="002D36A8" w:rsidTr="00BB4F61">
        <w:tc>
          <w:tcPr>
            <w:tcW w:w="1526" w:type="dxa"/>
          </w:tcPr>
          <w:p w:rsidR="002D36A8" w:rsidRDefault="002D36A8" w:rsidP="007A781F">
            <w:pPr>
              <w:pStyle w:val="NoSpacing"/>
            </w:pPr>
            <w:r>
              <w:t>Chisholm’s Obligations to you</w:t>
            </w:r>
          </w:p>
          <w:p w:rsidR="002D36A8" w:rsidRDefault="002D36A8" w:rsidP="007A781F">
            <w:pPr>
              <w:pStyle w:val="NoSpacing"/>
            </w:pPr>
          </w:p>
          <w:p w:rsidR="002D36A8" w:rsidRDefault="002D36A8" w:rsidP="007A781F">
            <w:pPr>
              <w:pStyle w:val="NoSpacing"/>
            </w:pPr>
          </w:p>
          <w:p w:rsidR="002D36A8" w:rsidRDefault="002D36A8" w:rsidP="007A781F">
            <w:pPr>
              <w:pStyle w:val="NoSpacing"/>
            </w:pPr>
          </w:p>
        </w:tc>
        <w:tc>
          <w:tcPr>
            <w:tcW w:w="7716" w:type="dxa"/>
          </w:tcPr>
          <w:p w:rsidR="002D36A8" w:rsidRDefault="002D36A8" w:rsidP="007A781F">
            <w:pPr>
              <w:pStyle w:val="NoSpacing"/>
            </w:pPr>
            <w:r>
              <w:lastRenderedPageBreak/>
              <w:t>You will be enrolled as a student at Chisholm as well as Toyota Motors Philippines School of Technology.  This means that Chisholm will be responsible for the quality of your training and assessment. It also means that you will be covered by Chisholm policies in the event that Toyota Motors Philippines School of Technology ceases delivery of this course.</w:t>
            </w:r>
          </w:p>
          <w:p w:rsidR="002D36A8" w:rsidRDefault="002D36A8" w:rsidP="007A781F">
            <w:pPr>
              <w:pStyle w:val="NoSpacing"/>
            </w:pPr>
            <w:r>
              <w:lastRenderedPageBreak/>
              <w:t>Upon graduation you will be awarded:</w:t>
            </w:r>
          </w:p>
          <w:p w:rsidR="002D36A8" w:rsidRDefault="002D36A8" w:rsidP="00AB52FF">
            <w:pPr>
              <w:pStyle w:val="NoSpacing"/>
              <w:numPr>
                <w:ilvl w:val="0"/>
                <w:numId w:val="2"/>
              </w:numPr>
            </w:pPr>
            <w:r>
              <w:t>Chisholm Institute Certificate III in Automotive Mechanical  Technology</w:t>
            </w:r>
          </w:p>
          <w:p w:rsidR="002D36A8" w:rsidRDefault="002D36A8" w:rsidP="00AB52FF">
            <w:pPr>
              <w:pStyle w:val="NoSpacing"/>
              <w:numPr>
                <w:ilvl w:val="0"/>
                <w:numId w:val="2"/>
              </w:numPr>
            </w:pPr>
            <w:r>
              <w:t>TESDA National Certificate in Automotive Servicing</w:t>
            </w:r>
          </w:p>
          <w:p w:rsidR="002D36A8" w:rsidRDefault="002D36A8" w:rsidP="00543056">
            <w:pPr>
              <w:pStyle w:val="NoSpacing"/>
              <w:ind w:left="360"/>
            </w:pPr>
          </w:p>
          <w:p w:rsidR="002D36A8" w:rsidRDefault="002D36A8" w:rsidP="00AB52FF">
            <w:pPr>
              <w:pStyle w:val="NoSpacing"/>
            </w:pPr>
            <w:r>
              <w:t>Upon enrolment you will be provided with a student handbook with detailed information about the course, the subject units, assessment, learning resources, policies etc.</w:t>
            </w:r>
          </w:p>
          <w:p w:rsidR="002D36A8" w:rsidRDefault="002D36A8" w:rsidP="00AB52FF">
            <w:pPr>
              <w:pStyle w:val="NoSpacing"/>
            </w:pPr>
          </w:p>
          <w:p w:rsidR="002D36A8" w:rsidRDefault="002D36A8" w:rsidP="0058118B">
            <w:pPr>
              <w:pStyle w:val="NoSpacing"/>
            </w:pPr>
            <w:r>
              <w:t xml:space="preserve">You will also be provided with a copy of the learning resources for the course such as text books, manuals and handouts. . You will be advised by Toyota Motors Philippines School of </w:t>
            </w:r>
            <w:proofErr w:type="gramStart"/>
            <w:r>
              <w:t>Technology  of</w:t>
            </w:r>
            <w:proofErr w:type="gramEnd"/>
            <w:r>
              <w:t xml:space="preserve"> any additional materials and equipment you need to provide. </w:t>
            </w:r>
          </w:p>
          <w:p w:rsidR="002D36A8" w:rsidRDefault="002D36A8" w:rsidP="0058118B">
            <w:pPr>
              <w:pStyle w:val="NoSpacing"/>
            </w:pPr>
          </w:p>
        </w:tc>
      </w:tr>
      <w:tr w:rsidR="002D36A8" w:rsidTr="00BB4F61">
        <w:tc>
          <w:tcPr>
            <w:tcW w:w="1526" w:type="dxa"/>
          </w:tcPr>
          <w:p w:rsidR="002D36A8" w:rsidRDefault="002D36A8" w:rsidP="007A781F">
            <w:pPr>
              <w:pStyle w:val="NoSpacing"/>
            </w:pPr>
            <w:r>
              <w:lastRenderedPageBreak/>
              <w:t>Grievances</w:t>
            </w:r>
          </w:p>
          <w:p w:rsidR="002D36A8" w:rsidRDefault="002D36A8" w:rsidP="007A781F">
            <w:pPr>
              <w:pStyle w:val="NoSpacing"/>
            </w:pPr>
          </w:p>
          <w:p w:rsidR="002D36A8" w:rsidRDefault="002D36A8" w:rsidP="007A781F">
            <w:pPr>
              <w:pStyle w:val="NoSpacing"/>
            </w:pPr>
          </w:p>
          <w:p w:rsidR="002D36A8" w:rsidRDefault="002D36A8" w:rsidP="007A781F">
            <w:pPr>
              <w:pStyle w:val="NoSpacing"/>
            </w:pPr>
          </w:p>
        </w:tc>
        <w:tc>
          <w:tcPr>
            <w:tcW w:w="7716" w:type="dxa"/>
          </w:tcPr>
          <w:p w:rsidR="002D36A8" w:rsidRDefault="002D36A8" w:rsidP="00410B9F">
            <w:pPr>
              <w:pStyle w:val="NoSpacing"/>
            </w:pPr>
            <w:r>
              <w:t xml:space="preserve">Chisholm recognises that from time to time student grievances or complaints may occur on various matters.  The Chisholm Complaint Policy is designed to facilitate the equitable and speedy resolution of these grievances. All students are entitled to fair and consistent treatment and prompt consideration and resolution of complaints. </w:t>
            </w:r>
          </w:p>
          <w:p w:rsidR="002D36A8" w:rsidRDefault="002D36A8" w:rsidP="00410B9F">
            <w:pPr>
              <w:pStyle w:val="NoSpacing"/>
              <w:rPr>
                <w:color w:val="C00000"/>
              </w:rPr>
            </w:pPr>
            <w:r>
              <w:rPr>
                <w:color w:val="C00000"/>
              </w:rPr>
              <w:t>See link below for Complaints and Appeals Policy</w:t>
            </w:r>
          </w:p>
          <w:p w:rsidR="002D36A8" w:rsidRDefault="002D36A8" w:rsidP="00410B9F">
            <w:pPr>
              <w:pStyle w:val="NoSpacing"/>
            </w:pPr>
          </w:p>
        </w:tc>
      </w:tr>
      <w:tr w:rsidR="002D36A8" w:rsidTr="00BB4F61">
        <w:tc>
          <w:tcPr>
            <w:tcW w:w="1526" w:type="dxa"/>
          </w:tcPr>
          <w:p w:rsidR="002D36A8" w:rsidRDefault="002D36A8" w:rsidP="007A781F">
            <w:pPr>
              <w:pStyle w:val="NoSpacing"/>
            </w:pPr>
            <w:r>
              <w:t>RPL</w:t>
            </w:r>
          </w:p>
          <w:p w:rsidR="002D36A8" w:rsidRDefault="002D36A8" w:rsidP="007A781F">
            <w:pPr>
              <w:pStyle w:val="NoSpacing"/>
            </w:pPr>
          </w:p>
          <w:p w:rsidR="002D36A8" w:rsidRDefault="002D36A8" w:rsidP="007A781F">
            <w:pPr>
              <w:pStyle w:val="NoSpacing"/>
            </w:pPr>
          </w:p>
          <w:p w:rsidR="002D36A8" w:rsidRDefault="002D36A8" w:rsidP="007A781F">
            <w:pPr>
              <w:pStyle w:val="NoSpacing"/>
            </w:pPr>
          </w:p>
        </w:tc>
        <w:tc>
          <w:tcPr>
            <w:tcW w:w="7716" w:type="dxa"/>
          </w:tcPr>
          <w:p w:rsidR="00C40114" w:rsidRDefault="00C40114" w:rsidP="00C40114">
            <w:pPr>
              <w:pStyle w:val="NoSpacing"/>
            </w:pPr>
            <w:r>
              <w:t xml:space="preserve">Chisholm has a policy to provide for the assessment and various types of learning undertaken by a student prior to enrolment at Chisholm.  This may include relevant work experience and other courses of study.  This is known as Recognition of Prior Learning (RPL). </w:t>
            </w:r>
          </w:p>
          <w:p w:rsidR="00C40114" w:rsidRDefault="00C40114" w:rsidP="00C40114">
            <w:pPr>
              <w:pStyle w:val="NoSpacing"/>
            </w:pPr>
          </w:p>
          <w:p w:rsidR="00C40114" w:rsidRDefault="00C40114" w:rsidP="00C40114">
            <w:pPr>
              <w:pStyle w:val="NoSpacing"/>
            </w:pPr>
            <w:r>
              <w:t>You can gain further information through your course coordinator or the Chisholm course coordinator, if you believe this to be relevant to you.</w:t>
            </w:r>
          </w:p>
          <w:p w:rsidR="00C40114" w:rsidRDefault="00C40114" w:rsidP="00C40114">
            <w:pPr>
              <w:pStyle w:val="NoSpacing"/>
              <w:rPr>
                <w:color w:val="C00000"/>
              </w:rPr>
            </w:pPr>
            <w:r>
              <w:rPr>
                <w:color w:val="C00000"/>
              </w:rPr>
              <w:t>See link below for RPL  and Credit Transfer Policy</w:t>
            </w:r>
          </w:p>
          <w:p w:rsidR="002D36A8" w:rsidRDefault="002D36A8" w:rsidP="00C40114">
            <w:pPr>
              <w:pStyle w:val="NoSpacing"/>
            </w:pPr>
          </w:p>
        </w:tc>
      </w:tr>
      <w:tr w:rsidR="00C40114" w:rsidTr="00BB4F61">
        <w:tc>
          <w:tcPr>
            <w:tcW w:w="1526" w:type="dxa"/>
            <w:vMerge w:val="restart"/>
          </w:tcPr>
          <w:p w:rsidR="00C40114" w:rsidRDefault="00C40114" w:rsidP="007A781F">
            <w:pPr>
              <w:pStyle w:val="NoSpacing"/>
            </w:pPr>
            <w:r>
              <w:t>Chisholm Policies</w:t>
            </w:r>
          </w:p>
          <w:p w:rsidR="00C40114" w:rsidRDefault="00C40114" w:rsidP="007A781F">
            <w:pPr>
              <w:pStyle w:val="NoSpacing"/>
            </w:pPr>
          </w:p>
          <w:p w:rsidR="00C40114" w:rsidRDefault="00C40114" w:rsidP="007A781F">
            <w:pPr>
              <w:pStyle w:val="NoSpacing"/>
            </w:pPr>
          </w:p>
          <w:p w:rsidR="00C40114" w:rsidRDefault="00C40114" w:rsidP="007A781F">
            <w:pPr>
              <w:pStyle w:val="NoSpacing"/>
            </w:pPr>
          </w:p>
        </w:tc>
        <w:tc>
          <w:tcPr>
            <w:tcW w:w="7716" w:type="dxa"/>
            <w:tcBorders>
              <w:bottom w:val="nil"/>
            </w:tcBorders>
          </w:tcPr>
          <w:p w:rsidR="00C40114" w:rsidRDefault="00C40114" w:rsidP="00DE11BF">
            <w:pPr>
              <w:pStyle w:val="NoSpacing"/>
              <w:rPr>
                <w:color w:val="C00000"/>
              </w:rPr>
            </w:pPr>
            <w:r>
              <w:rPr>
                <w:color w:val="C00000"/>
              </w:rPr>
              <w:t>Chisholm policies and procedures are available on the internet:</w:t>
            </w:r>
          </w:p>
          <w:p w:rsidR="00C40114" w:rsidRDefault="00091D3D" w:rsidP="00DE11BF">
            <w:pPr>
              <w:pStyle w:val="NoSpacing"/>
            </w:pPr>
            <w:hyperlink r:id="rId8" w:history="1">
              <w:r w:rsidR="00C40114" w:rsidRPr="008C3C23">
                <w:rPr>
                  <w:rStyle w:val="Hyperlink"/>
                </w:rPr>
                <w:t>https://qms.chisholm.edu.au/</w:t>
              </w:r>
            </w:hyperlink>
          </w:p>
          <w:p w:rsidR="00C40114" w:rsidRDefault="00C40114" w:rsidP="00DE11BF">
            <w:pPr>
              <w:pStyle w:val="NoSpacing"/>
            </w:pPr>
          </w:p>
          <w:p w:rsidR="00C40114" w:rsidRDefault="00C40114" w:rsidP="00DE11BF">
            <w:pPr>
              <w:pStyle w:val="NoSpacing"/>
            </w:pPr>
            <w:r>
              <w:t>Some of the key policies relating to students are listed below:</w:t>
            </w:r>
          </w:p>
        </w:tc>
      </w:tr>
      <w:tr w:rsidR="00C40114" w:rsidTr="00BB4F61">
        <w:tc>
          <w:tcPr>
            <w:tcW w:w="1526" w:type="dxa"/>
            <w:vMerge/>
          </w:tcPr>
          <w:p w:rsidR="00C40114" w:rsidRDefault="00C40114" w:rsidP="007A781F">
            <w:pPr>
              <w:pStyle w:val="NoSpacing"/>
            </w:pPr>
          </w:p>
        </w:tc>
        <w:tc>
          <w:tcPr>
            <w:tcW w:w="7716" w:type="dxa"/>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1928"/>
            </w:tblGrid>
            <w:tr w:rsidR="00C40114" w:rsidTr="00DE11BF">
              <w:tc>
                <w:tcPr>
                  <w:tcW w:w="5557" w:type="dxa"/>
                  <w:hideMark/>
                </w:tcPr>
                <w:p w:rsidR="00C40114" w:rsidRDefault="00C40114" w:rsidP="00DE11BF">
                  <w:pPr>
                    <w:pStyle w:val="NoSpacing"/>
                    <w:numPr>
                      <w:ilvl w:val="0"/>
                      <w:numId w:val="4"/>
                    </w:numPr>
                  </w:pPr>
                  <w:r>
                    <w:t>Assessment of Learning</w:t>
                  </w:r>
                </w:p>
              </w:tc>
              <w:tc>
                <w:tcPr>
                  <w:tcW w:w="1928" w:type="dxa"/>
                  <w:hideMark/>
                </w:tcPr>
                <w:p w:rsidR="00C40114" w:rsidRDefault="00C40114" w:rsidP="00DE11BF">
                  <w:pPr>
                    <w:pStyle w:val="NoSpacing"/>
                  </w:pPr>
                  <w:r>
                    <w:t>QMS 111</w:t>
                  </w:r>
                </w:p>
              </w:tc>
            </w:tr>
            <w:tr w:rsidR="00C40114" w:rsidTr="00DE11BF">
              <w:tc>
                <w:tcPr>
                  <w:tcW w:w="5557" w:type="dxa"/>
                  <w:hideMark/>
                </w:tcPr>
                <w:p w:rsidR="00C40114" w:rsidRDefault="00C40114" w:rsidP="00DE11BF">
                  <w:pPr>
                    <w:pStyle w:val="NoSpacing"/>
                    <w:numPr>
                      <w:ilvl w:val="0"/>
                      <w:numId w:val="4"/>
                    </w:numPr>
                  </w:pPr>
                  <w:r>
                    <w:t>Privacy and Freedom of  Information</w:t>
                  </w:r>
                </w:p>
              </w:tc>
              <w:tc>
                <w:tcPr>
                  <w:tcW w:w="1928" w:type="dxa"/>
                  <w:hideMark/>
                </w:tcPr>
                <w:p w:rsidR="00C40114" w:rsidRDefault="00C40114" w:rsidP="00DE11BF">
                  <w:pPr>
                    <w:pStyle w:val="NoSpacing"/>
                  </w:pPr>
                  <w:r>
                    <w:t>QMS 301</w:t>
                  </w:r>
                </w:p>
              </w:tc>
            </w:tr>
            <w:tr w:rsidR="00C40114" w:rsidTr="00DE11BF">
              <w:tc>
                <w:tcPr>
                  <w:tcW w:w="5557" w:type="dxa"/>
                  <w:hideMark/>
                </w:tcPr>
                <w:p w:rsidR="00C40114" w:rsidRDefault="00C40114" w:rsidP="00DE11BF">
                  <w:pPr>
                    <w:pStyle w:val="NoSpacing"/>
                    <w:numPr>
                      <w:ilvl w:val="0"/>
                      <w:numId w:val="4"/>
                    </w:numPr>
                  </w:pPr>
                  <w:r>
                    <w:t>Copyright and Intellectual Property</w:t>
                  </w:r>
                </w:p>
              </w:tc>
              <w:tc>
                <w:tcPr>
                  <w:tcW w:w="1928" w:type="dxa"/>
                  <w:hideMark/>
                </w:tcPr>
                <w:p w:rsidR="00C40114" w:rsidRDefault="00C40114" w:rsidP="00DE11BF">
                  <w:pPr>
                    <w:pStyle w:val="NoSpacing"/>
                  </w:pPr>
                  <w:r>
                    <w:t>QMS 302</w:t>
                  </w:r>
                </w:p>
              </w:tc>
            </w:tr>
            <w:tr w:rsidR="00C40114" w:rsidTr="00DE11BF">
              <w:tc>
                <w:tcPr>
                  <w:tcW w:w="5557" w:type="dxa"/>
                  <w:hideMark/>
                </w:tcPr>
                <w:p w:rsidR="00C40114" w:rsidRDefault="00C40114" w:rsidP="00DE11BF">
                  <w:pPr>
                    <w:pStyle w:val="NoSpacing"/>
                    <w:numPr>
                      <w:ilvl w:val="0"/>
                      <w:numId w:val="4"/>
                    </w:numPr>
                  </w:pPr>
                  <w:r>
                    <w:t>Complaints and Appeals</w:t>
                  </w:r>
                </w:p>
              </w:tc>
              <w:tc>
                <w:tcPr>
                  <w:tcW w:w="1928" w:type="dxa"/>
                  <w:hideMark/>
                </w:tcPr>
                <w:p w:rsidR="00C40114" w:rsidRDefault="00C40114" w:rsidP="00DE11BF">
                  <w:pPr>
                    <w:pStyle w:val="NoSpacing"/>
                  </w:pPr>
                  <w:r>
                    <w:t>QMS  306</w:t>
                  </w:r>
                </w:p>
              </w:tc>
            </w:tr>
            <w:tr w:rsidR="00C40114" w:rsidTr="00DE11BF">
              <w:tc>
                <w:tcPr>
                  <w:tcW w:w="5557" w:type="dxa"/>
                  <w:hideMark/>
                </w:tcPr>
                <w:p w:rsidR="00C40114" w:rsidRDefault="00C40114" w:rsidP="00DE11BF">
                  <w:pPr>
                    <w:pStyle w:val="NoSpacing"/>
                    <w:numPr>
                      <w:ilvl w:val="0"/>
                      <w:numId w:val="4"/>
                    </w:numPr>
                  </w:pPr>
                  <w:r>
                    <w:t>Student Code of Conduct</w:t>
                  </w:r>
                </w:p>
              </w:tc>
              <w:tc>
                <w:tcPr>
                  <w:tcW w:w="1928" w:type="dxa"/>
                  <w:hideMark/>
                </w:tcPr>
                <w:p w:rsidR="00C40114" w:rsidRDefault="00C40114" w:rsidP="00DE11BF">
                  <w:pPr>
                    <w:pStyle w:val="NoSpacing"/>
                  </w:pPr>
                  <w:r>
                    <w:t>QMS 117</w:t>
                  </w:r>
                </w:p>
              </w:tc>
            </w:tr>
            <w:tr w:rsidR="00C40114" w:rsidTr="00DE11BF">
              <w:tc>
                <w:tcPr>
                  <w:tcW w:w="5557" w:type="dxa"/>
                  <w:hideMark/>
                </w:tcPr>
                <w:p w:rsidR="00C40114" w:rsidRDefault="00C40114" w:rsidP="00DE11BF">
                  <w:pPr>
                    <w:pStyle w:val="NoSpacing"/>
                    <w:numPr>
                      <w:ilvl w:val="0"/>
                      <w:numId w:val="4"/>
                    </w:numPr>
                  </w:pPr>
                  <w:r>
                    <w:t>RPL and Credit Transfer</w:t>
                  </w:r>
                </w:p>
              </w:tc>
              <w:tc>
                <w:tcPr>
                  <w:tcW w:w="1928" w:type="dxa"/>
                  <w:hideMark/>
                </w:tcPr>
                <w:p w:rsidR="00C40114" w:rsidRDefault="00C40114" w:rsidP="00DE11BF">
                  <w:pPr>
                    <w:pStyle w:val="NoSpacing"/>
                  </w:pPr>
                  <w:r>
                    <w:t>QMS 107</w:t>
                  </w:r>
                </w:p>
                <w:p w:rsidR="00C40114" w:rsidRDefault="00C40114" w:rsidP="00DE11BF">
                  <w:pPr>
                    <w:pStyle w:val="NoSpacing"/>
                  </w:pPr>
                </w:p>
              </w:tc>
            </w:tr>
          </w:tbl>
          <w:p w:rsidR="00C40114" w:rsidRDefault="00C40114" w:rsidP="00DE11BF">
            <w:pPr>
              <w:rPr>
                <w:rFonts w:cs="Times New Roman"/>
              </w:rPr>
            </w:pPr>
          </w:p>
        </w:tc>
      </w:tr>
      <w:tr w:rsidR="00C40114" w:rsidTr="00BB4F61">
        <w:tc>
          <w:tcPr>
            <w:tcW w:w="1526" w:type="dxa"/>
          </w:tcPr>
          <w:p w:rsidR="00C40114" w:rsidRDefault="00C40114" w:rsidP="007A781F">
            <w:pPr>
              <w:pStyle w:val="NoSpacing"/>
            </w:pPr>
            <w:r>
              <w:t>Pathways</w:t>
            </w:r>
          </w:p>
          <w:p w:rsidR="00C40114" w:rsidRDefault="00C40114" w:rsidP="007A781F">
            <w:pPr>
              <w:pStyle w:val="NoSpacing"/>
            </w:pPr>
          </w:p>
          <w:p w:rsidR="00C40114" w:rsidRDefault="00C40114" w:rsidP="007A781F">
            <w:pPr>
              <w:pStyle w:val="NoSpacing"/>
            </w:pPr>
          </w:p>
          <w:p w:rsidR="00C40114" w:rsidRDefault="00C40114" w:rsidP="007A781F">
            <w:pPr>
              <w:pStyle w:val="NoSpacing"/>
            </w:pPr>
          </w:p>
        </w:tc>
        <w:tc>
          <w:tcPr>
            <w:tcW w:w="7716" w:type="dxa"/>
          </w:tcPr>
          <w:p w:rsidR="00C40114" w:rsidRDefault="00C40114" w:rsidP="00690038">
            <w:pPr>
              <w:pStyle w:val="NoSpacing"/>
            </w:pPr>
            <w:r>
              <w:t>When you complete your course at Chisholm, it opens the door to further study, either at Chisholm or another Australian Institution. In some case you will be eligible for credit transfer into university programs at the completion of your Chisholm Diploma.  You can gain further information through your course coordinator or the Chisholm course coordinator.</w:t>
            </w:r>
          </w:p>
          <w:p w:rsidR="00C40114" w:rsidRDefault="00C40114" w:rsidP="00690038">
            <w:pPr>
              <w:pStyle w:val="NoSpacing"/>
            </w:pPr>
          </w:p>
        </w:tc>
      </w:tr>
      <w:tr w:rsidR="00C40114" w:rsidTr="00BB4F61">
        <w:tc>
          <w:tcPr>
            <w:tcW w:w="1526" w:type="dxa"/>
          </w:tcPr>
          <w:p w:rsidR="00C40114" w:rsidRDefault="00C40114" w:rsidP="007A781F">
            <w:pPr>
              <w:pStyle w:val="NoSpacing"/>
            </w:pPr>
            <w:r>
              <w:t>Fees</w:t>
            </w:r>
          </w:p>
          <w:p w:rsidR="00C40114" w:rsidRDefault="00C40114" w:rsidP="007A781F">
            <w:pPr>
              <w:pStyle w:val="NoSpacing"/>
            </w:pPr>
          </w:p>
          <w:p w:rsidR="00C40114" w:rsidRDefault="00C40114" w:rsidP="007A781F">
            <w:pPr>
              <w:pStyle w:val="NoSpacing"/>
            </w:pPr>
          </w:p>
        </w:tc>
        <w:tc>
          <w:tcPr>
            <w:tcW w:w="7716" w:type="dxa"/>
          </w:tcPr>
          <w:p w:rsidR="00C40114" w:rsidRDefault="00C40114" w:rsidP="00690038">
            <w:pPr>
              <w:pStyle w:val="NoSpacing"/>
            </w:pPr>
            <w:r>
              <w:t xml:space="preserve">You will be advised of the fees, payment terms and conditions and refund policy for this course by Toyota Motors Philippines School of Technology.  </w:t>
            </w:r>
          </w:p>
        </w:tc>
      </w:tr>
    </w:tbl>
    <w:p w:rsidR="007A781F" w:rsidRDefault="007A781F" w:rsidP="007A781F">
      <w:pPr>
        <w:pStyle w:val="NoSpacing"/>
      </w:pPr>
    </w:p>
    <w:sectPr w:rsidR="007A78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3D" w:rsidRDefault="00091D3D" w:rsidP="00EF0E35">
      <w:pPr>
        <w:spacing w:after="0" w:line="240" w:lineRule="auto"/>
      </w:pPr>
      <w:r>
        <w:separator/>
      </w:r>
    </w:p>
  </w:endnote>
  <w:endnote w:type="continuationSeparator" w:id="0">
    <w:p w:rsidR="00091D3D" w:rsidRDefault="00091D3D" w:rsidP="00EF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35" w:rsidRDefault="00EF0E35">
    <w:pPr>
      <w:pStyle w:val="Footer"/>
    </w:pPr>
    <w:r>
      <w:t xml:space="preserve">Version 2 </w:t>
    </w:r>
    <w:r w:rsidR="00642261">
      <w:t>Final</w:t>
    </w:r>
    <w:r>
      <w:t xml:space="preserve"> </w:t>
    </w:r>
    <w:r>
      <w:tab/>
    </w:r>
    <w:r>
      <w:tab/>
    </w:r>
    <w:r w:rsidR="00134C46">
      <w:t>02</w:t>
    </w:r>
    <w:r>
      <w:t>/</w:t>
    </w:r>
    <w:r w:rsidR="00134C46">
      <w:t>11</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3D" w:rsidRDefault="00091D3D" w:rsidP="00EF0E35">
      <w:pPr>
        <w:spacing w:after="0" w:line="240" w:lineRule="auto"/>
      </w:pPr>
      <w:r>
        <w:separator/>
      </w:r>
    </w:p>
  </w:footnote>
  <w:footnote w:type="continuationSeparator" w:id="0">
    <w:p w:rsidR="00091D3D" w:rsidRDefault="00091D3D" w:rsidP="00EF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8" w:rsidRDefault="008500F8">
    <w:pPr>
      <w:pStyle w:val="Header"/>
    </w:pPr>
    <w:r>
      <w:t>International training partner – Toyota motors Philippines</w:t>
    </w:r>
  </w:p>
  <w:p w:rsidR="008500F8" w:rsidRDefault="00850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2651"/>
    <w:multiLevelType w:val="hybridMultilevel"/>
    <w:tmpl w:val="36083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4524CA"/>
    <w:multiLevelType w:val="hybridMultilevel"/>
    <w:tmpl w:val="21422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646E49"/>
    <w:multiLevelType w:val="hybridMultilevel"/>
    <w:tmpl w:val="7262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400307"/>
    <w:multiLevelType w:val="hybridMultilevel"/>
    <w:tmpl w:val="CA66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407ADB"/>
    <w:multiLevelType w:val="hybridMultilevel"/>
    <w:tmpl w:val="E87C8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F"/>
    <w:rsid w:val="00091D3D"/>
    <w:rsid w:val="00096364"/>
    <w:rsid w:val="000971DC"/>
    <w:rsid w:val="000B1261"/>
    <w:rsid w:val="00134C46"/>
    <w:rsid w:val="00165838"/>
    <w:rsid w:val="001E6C9A"/>
    <w:rsid w:val="001F29FE"/>
    <w:rsid w:val="00225E26"/>
    <w:rsid w:val="002B7D5F"/>
    <w:rsid w:val="002D36A8"/>
    <w:rsid w:val="002E169D"/>
    <w:rsid w:val="00393CF8"/>
    <w:rsid w:val="00410B9F"/>
    <w:rsid w:val="004F3F7A"/>
    <w:rsid w:val="00543056"/>
    <w:rsid w:val="0058118B"/>
    <w:rsid w:val="005B16B2"/>
    <w:rsid w:val="005B3D1E"/>
    <w:rsid w:val="005B4889"/>
    <w:rsid w:val="005B7382"/>
    <w:rsid w:val="006173DF"/>
    <w:rsid w:val="00642261"/>
    <w:rsid w:val="00690038"/>
    <w:rsid w:val="00706679"/>
    <w:rsid w:val="00773EE7"/>
    <w:rsid w:val="0078557A"/>
    <w:rsid w:val="007A781F"/>
    <w:rsid w:val="007C196F"/>
    <w:rsid w:val="007C2BAD"/>
    <w:rsid w:val="008500F8"/>
    <w:rsid w:val="00855107"/>
    <w:rsid w:val="00866F96"/>
    <w:rsid w:val="008C6D69"/>
    <w:rsid w:val="008D2D59"/>
    <w:rsid w:val="008F09A9"/>
    <w:rsid w:val="0097485E"/>
    <w:rsid w:val="009F5F72"/>
    <w:rsid w:val="00A27040"/>
    <w:rsid w:val="00A31F74"/>
    <w:rsid w:val="00A573E7"/>
    <w:rsid w:val="00AB52FF"/>
    <w:rsid w:val="00AC1371"/>
    <w:rsid w:val="00B00D52"/>
    <w:rsid w:val="00B15D21"/>
    <w:rsid w:val="00B8625E"/>
    <w:rsid w:val="00BB4F61"/>
    <w:rsid w:val="00BD075D"/>
    <w:rsid w:val="00C40114"/>
    <w:rsid w:val="00C71ED6"/>
    <w:rsid w:val="00C76E91"/>
    <w:rsid w:val="00CD275C"/>
    <w:rsid w:val="00CF2358"/>
    <w:rsid w:val="00DC68C2"/>
    <w:rsid w:val="00DF5E26"/>
    <w:rsid w:val="00E25F19"/>
    <w:rsid w:val="00EF0E35"/>
    <w:rsid w:val="00F234D5"/>
    <w:rsid w:val="00F75A4D"/>
    <w:rsid w:val="00FA2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6CF2-9053-46FF-BF4F-A936D9B9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81F"/>
    <w:pPr>
      <w:spacing w:after="0" w:line="240" w:lineRule="auto"/>
    </w:pPr>
  </w:style>
  <w:style w:type="table" w:styleId="TableGrid">
    <w:name w:val="Table Grid"/>
    <w:basedOn w:val="TableNormal"/>
    <w:uiPriority w:val="59"/>
    <w:rsid w:val="007A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1EF"/>
    <w:rPr>
      <w:color w:val="0000FF" w:themeColor="hyperlink"/>
      <w:u w:val="single"/>
    </w:rPr>
  </w:style>
  <w:style w:type="paragraph" w:styleId="Header">
    <w:name w:val="header"/>
    <w:basedOn w:val="Normal"/>
    <w:link w:val="HeaderChar"/>
    <w:uiPriority w:val="99"/>
    <w:unhideWhenUsed/>
    <w:rsid w:val="00EF0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E35"/>
  </w:style>
  <w:style w:type="paragraph" w:styleId="Footer">
    <w:name w:val="footer"/>
    <w:basedOn w:val="Normal"/>
    <w:link w:val="FooterChar"/>
    <w:uiPriority w:val="99"/>
    <w:unhideWhenUsed/>
    <w:rsid w:val="00EF0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35"/>
  </w:style>
  <w:style w:type="paragraph" w:styleId="BalloonText">
    <w:name w:val="Balloon Text"/>
    <w:basedOn w:val="Normal"/>
    <w:link w:val="BalloonTextChar"/>
    <w:uiPriority w:val="99"/>
    <w:semiHidden/>
    <w:unhideWhenUsed/>
    <w:rsid w:val="00EF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s.chisholm.edu.au/" TargetMode="External"/><Relationship Id="rId3" Type="http://schemas.openxmlformats.org/officeDocument/2006/relationships/settings" Target="settings.xml"/><Relationship Id="rId7" Type="http://schemas.openxmlformats.org/officeDocument/2006/relationships/hyperlink" Target="mailto:david.adams@chisholm.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III in Light Vehicle Mechanical Technology</dc:title>
  <dc:subject>Mechanical Technology</dc:subject>
  <dc:creator>Chisholm Institute</dc:creator>
  <cp:keywords>mechanical technology, international training partners, toyota motors phillipines </cp:keywords>
  <cp:lastModifiedBy>Matthew Wilby</cp:lastModifiedBy>
  <cp:revision>3</cp:revision>
  <cp:lastPrinted>2015-11-02T00:30:00Z</cp:lastPrinted>
  <dcterms:created xsi:type="dcterms:W3CDTF">2016-04-13T23:55:00Z</dcterms:created>
  <dcterms:modified xsi:type="dcterms:W3CDTF">2016-04-14T00:45:00Z</dcterms:modified>
  <cp:category>International training partners</cp:category>
</cp:coreProperties>
</file>